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45" w:rsidRDefault="003F7645"/>
    <w:p w:rsidR="003F7645" w:rsidRPr="003F7645" w:rsidRDefault="003F7645">
      <w:r>
        <w:t xml:space="preserve">Re: Article 4468 Submission (Article Title: “Empathetic </w:t>
      </w:r>
      <w:proofErr w:type="spellStart"/>
      <w:r>
        <w:t>Engagment</w:t>
      </w:r>
      <w:proofErr w:type="spellEnd"/>
      <w:r>
        <w:t xml:space="preserve"> in </w:t>
      </w:r>
      <w:proofErr w:type="spellStart"/>
      <w:r>
        <w:t>Danticat’s</w:t>
      </w:r>
      <w:proofErr w:type="spellEnd"/>
      <w:r>
        <w:t xml:space="preserve"> </w:t>
      </w:r>
      <w:r>
        <w:rPr>
          <w:i/>
        </w:rPr>
        <w:t>Brother, I’m Dying</w:t>
      </w:r>
      <w:r>
        <w:t>”)</w:t>
      </w:r>
    </w:p>
    <w:p w:rsidR="003F7645" w:rsidRDefault="003F7645">
      <w:r>
        <w:t>Dear Ariel,</w:t>
      </w:r>
    </w:p>
    <w:p w:rsidR="003F7645" w:rsidRDefault="003F7645">
      <w:r>
        <w:t>I would like to thank the peer reviewers for their detailed and helpful suggestions regarding my article.</w:t>
      </w:r>
      <w:r w:rsidR="00D0701E">
        <w:t xml:space="preserve"> This letter outlines how I have addressed their concerns.</w:t>
      </w:r>
    </w:p>
    <w:p w:rsidR="00D0701E" w:rsidRDefault="00D0701E" w:rsidP="00A95026">
      <w:pPr>
        <w:pStyle w:val="ListParagraph"/>
        <w:numPr>
          <w:ilvl w:val="0"/>
          <w:numId w:val="1"/>
        </w:numPr>
      </w:pPr>
      <w:r>
        <w:t>Reader’s Report 1 suggested that my focus on “</w:t>
      </w:r>
      <w:proofErr w:type="spellStart"/>
      <w:r>
        <w:t>manag</w:t>
      </w:r>
      <w:proofErr w:type="spellEnd"/>
      <w:r>
        <w:t>[</w:t>
      </w:r>
      <w:proofErr w:type="spellStart"/>
      <w:r>
        <w:t>ing</w:t>
      </w:r>
      <w:proofErr w:type="spellEnd"/>
      <w:r>
        <w:t xml:space="preserve">] sites for empathetic engagement” was rather buried in the essay. Although the reader suggested I didn’t outline that framework until the end of the article, I, in fact, thought that I had outlined it in the </w:t>
      </w:r>
      <w:r w:rsidR="006B6A7A">
        <w:t>paragraph that stated my argument (page 4 onto the top of page 5</w:t>
      </w:r>
      <w:r w:rsidR="00682B87">
        <w:t xml:space="preserve"> in the original manuscript</w:t>
      </w:r>
      <w:r w:rsidR="006B6A7A">
        <w:t xml:space="preserve">) right before the </w:t>
      </w:r>
      <w:proofErr w:type="spellStart"/>
      <w:r w:rsidR="006B6A7A">
        <w:t>asterixed</w:t>
      </w:r>
      <w:proofErr w:type="spellEnd"/>
      <w:r w:rsidR="006B6A7A">
        <w:t xml:space="preserve"> break on page 5. Regardless </w:t>
      </w:r>
      <w:r w:rsidR="0042088B">
        <w:t>of this difference in opinion</w:t>
      </w:r>
      <w:r w:rsidR="006B6A7A">
        <w:t>, what this report clued me into was the rather wandering nature of my initial introduction section. This reader perhaps missed what I was considering my statement of argument precisely because I wandered too much leading up to that paragraph. So, what I hope I’ve done is streamline that opening section. The paragraph that I’m considering as my statement of argument still occurs</w:t>
      </w:r>
      <w:r w:rsidR="00A95026">
        <w:t xml:space="preserve"> </w:t>
      </w:r>
      <w:r w:rsidR="00D74508">
        <w:t>on page</w:t>
      </w:r>
      <w:r w:rsidR="00A95026">
        <w:t>s</w:t>
      </w:r>
      <w:r w:rsidR="00D74508">
        <w:t xml:space="preserve"> </w:t>
      </w:r>
      <w:r w:rsidR="00A95026">
        <w:t>3-</w:t>
      </w:r>
      <w:r w:rsidR="00D74508">
        <w:t>4</w:t>
      </w:r>
      <w:r w:rsidR="008366BE">
        <w:t xml:space="preserve"> (so a bit late)</w:t>
      </w:r>
      <w:r w:rsidR="006B6A7A">
        <w:t xml:space="preserve">, but I’m hoping I’ve done a better job of </w:t>
      </w:r>
      <w:r w:rsidR="0027320B">
        <w:t>drawing the reader’s focus to it.</w:t>
      </w:r>
      <w:r w:rsidR="00A03AB4">
        <w:t xml:space="preserve"> </w:t>
      </w:r>
    </w:p>
    <w:p w:rsidR="00665C55" w:rsidRDefault="00DF4CF0" w:rsidP="00D0701E">
      <w:pPr>
        <w:pStyle w:val="ListParagraph"/>
        <w:numPr>
          <w:ilvl w:val="0"/>
          <w:numId w:val="1"/>
        </w:numPr>
      </w:pPr>
      <w:r>
        <w:t xml:space="preserve">In response to both reports’ suggestion that the theory was overwhelming the reading of </w:t>
      </w:r>
      <w:proofErr w:type="spellStart"/>
      <w:r>
        <w:t>Danticat’s</w:t>
      </w:r>
      <w:proofErr w:type="spellEnd"/>
      <w:r>
        <w:t xml:space="preserve"> text, I’ve </w:t>
      </w:r>
      <w:r w:rsidR="00665C55">
        <w:t>done the following:</w:t>
      </w:r>
    </w:p>
    <w:p w:rsidR="00665C55" w:rsidRDefault="00DF4CF0" w:rsidP="00665C55">
      <w:pPr>
        <w:pStyle w:val="ListParagraph"/>
        <w:numPr>
          <w:ilvl w:val="1"/>
          <w:numId w:val="1"/>
        </w:numPr>
      </w:pPr>
      <w:proofErr w:type="gramStart"/>
      <w:r>
        <w:t>condensed</w:t>
      </w:r>
      <w:proofErr w:type="gramEnd"/>
      <w:r>
        <w:t xml:space="preserve"> the paragraph on grie</w:t>
      </w:r>
      <w:r w:rsidR="00A43E64">
        <w:t xml:space="preserve">f (page 6 of original draft). </w:t>
      </w:r>
      <w:proofErr w:type="spellStart"/>
      <w:r w:rsidR="00A43E64">
        <w:t>The</w:t>
      </w:r>
      <w:proofErr w:type="spellEnd"/>
      <w:r w:rsidR="00A43E64">
        <w:t xml:space="preserve"> article</w:t>
      </w:r>
      <w:r>
        <w:t xml:space="preserve"> didn’t need as much overview of recent discussions.</w:t>
      </w:r>
      <w:r>
        <w:rPr>
          <w:rStyle w:val="EndnoteReference"/>
        </w:rPr>
        <w:endnoteReference w:id="1"/>
      </w:r>
      <w:r>
        <w:t xml:space="preserve"> </w:t>
      </w:r>
    </w:p>
    <w:p w:rsidR="00665C55" w:rsidRDefault="008366BE" w:rsidP="00665C55">
      <w:pPr>
        <w:pStyle w:val="ListParagraph"/>
        <w:numPr>
          <w:ilvl w:val="1"/>
          <w:numId w:val="1"/>
        </w:numPr>
      </w:pPr>
      <w:proofErr w:type="gramStart"/>
      <w:r>
        <w:t>o</w:t>
      </w:r>
      <w:r w:rsidR="00665C55">
        <w:t>mitted</w:t>
      </w:r>
      <w:proofErr w:type="gramEnd"/>
      <w:r w:rsidR="00665C55">
        <w:t xml:space="preserve"> a paragraph introducing Butler’s community focus (page 7 of original draft).</w:t>
      </w:r>
      <w:r w:rsidR="0040654B">
        <w:t xml:space="preserve"> This paragraph seemed to postpone the focus on </w:t>
      </w:r>
      <w:proofErr w:type="spellStart"/>
      <w:r w:rsidR="0040654B">
        <w:t>Danticat</w:t>
      </w:r>
      <w:proofErr w:type="spellEnd"/>
      <w:r w:rsidR="0040654B">
        <w:t xml:space="preserve"> and yet not offer all that much to the discussion</w:t>
      </w:r>
      <w:r w:rsidR="00D866C3">
        <w:t>.</w:t>
      </w:r>
      <w:r w:rsidR="00665C55">
        <w:rPr>
          <w:rStyle w:val="EndnoteReference"/>
        </w:rPr>
        <w:endnoteReference w:id="2"/>
      </w:r>
    </w:p>
    <w:p w:rsidR="00D51BED" w:rsidRDefault="00BB3DB5" w:rsidP="00BB3DB5">
      <w:pPr>
        <w:pStyle w:val="ListParagraph"/>
        <w:numPr>
          <w:ilvl w:val="0"/>
          <w:numId w:val="1"/>
        </w:numPr>
      </w:pPr>
      <w:r>
        <w:t xml:space="preserve">Despite Report 1’s suggestion that the discussion of </w:t>
      </w:r>
      <w:proofErr w:type="spellStart"/>
      <w:r>
        <w:t>Berlant’s</w:t>
      </w:r>
      <w:proofErr w:type="spellEnd"/>
      <w:r>
        <w:t xml:space="preserve"> compassion is perhaps not needed and a similar citing of the discussion of </w:t>
      </w:r>
      <w:proofErr w:type="spellStart"/>
      <w:r>
        <w:t>LaCapra</w:t>
      </w:r>
      <w:proofErr w:type="spellEnd"/>
      <w:r w:rsidR="000B524C">
        <w:t>/</w:t>
      </w:r>
      <w:proofErr w:type="spellStart"/>
      <w:r w:rsidR="000B524C">
        <w:t>Landsberg</w:t>
      </w:r>
      <w:proofErr w:type="spellEnd"/>
      <w:r>
        <w:t xml:space="preserve"> as one of the parts where the theory perhaps overwhelms, I’ve left that section in. I feel that it is needed in order for me to show why the sites of empathetic engagement need managing. To me this discussion shows that constructing empathy involves a need to balance the need to respect difference (</w:t>
      </w:r>
      <w:proofErr w:type="spellStart"/>
      <w:r>
        <w:t>LaCapra</w:t>
      </w:r>
      <w:proofErr w:type="spellEnd"/>
      <w:r w:rsidR="000B524C">
        <w:t>/</w:t>
      </w:r>
      <w:proofErr w:type="spellStart"/>
      <w:r w:rsidR="000B524C">
        <w:t>Landsberg</w:t>
      </w:r>
      <w:proofErr w:type="spellEnd"/>
      <w:r>
        <w:t>) with a possible tendency of seeing oneself as too different</w:t>
      </w:r>
      <w:r w:rsidR="00DA1BEF">
        <w:t xml:space="preserve"> from someone else</w:t>
      </w:r>
      <w:r>
        <w:t xml:space="preserve">, </w:t>
      </w:r>
      <w:r w:rsidR="00DA1BEF">
        <w:t xml:space="preserve">and </w:t>
      </w:r>
      <w:r>
        <w:t>thereby not subject to the same threats (</w:t>
      </w:r>
      <w:proofErr w:type="spellStart"/>
      <w:r>
        <w:t>Berlant</w:t>
      </w:r>
      <w:proofErr w:type="spellEnd"/>
      <w:r>
        <w:t xml:space="preserve">). </w:t>
      </w:r>
      <w:r w:rsidR="00DA1BEF">
        <w:t>Hence, without this part of the discussion, I’m not sure if it will be clear why empathetic engagement needs ma</w:t>
      </w:r>
      <w:r w:rsidR="008366BE">
        <w:t xml:space="preserve">naging </w:t>
      </w:r>
      <w:r w:rsidR="00DA1BEF">
        <w:t>in the first place.</w:t>
      </w:r>
    </w:p>
    <w:p w:rsidR="00264651" w:rsidRDefault="00264651" w:rsidP="00264651">
      <w:pPr>
        <w:ind w:left="720"/>
      </w:pPr>
      <w:r>
        <w:t xml:space="preserve">Although not specifically requested, upon re-reading the article, I felt that I could </w:t>
      </w:r>
      <w:r w:rsidR="00BE2573">
        <w:t xml:space="preserve">also </w:t>
      </w:r>
      <w:r>
        <w:t xml:space="preserve">better explain what I meant by managing the complexities of empathy/compassion. In the paragraph that begins “All told, if provoking . . . </w:t>
      </w:r>
      <w:proofErr w:type="gramStart"/>
      <w:r>
        <w:t>“ (</w:t>
      </w:r>
      <w:proofErr w:type="gramEnd"/>
      <w:r>
        <w:t>page 7), I have added two sente</w:t>
      </w:r>
      <w:r w:rsidR="00696523">
        <w:t>nces t</w:t>
      </w:r>
      <w:r w:rsidR="00AB144B">
        <w:t xml:space="preserve">hat I hope better explain how I’m depicting the dilemma </w:t>
      </w:r>
      <w:proofErr w:type="spellStart"/>
      <w:r w:rsidR="00AB144B">
        <w:t>Danticat</w:t>
      </w:r>
      <w:proofErr w:type="spellEnd"/>
      <w:r w:rsidR="00AB144B">
        <w:t xml:space="preserve"> faces</w:t>
      </w:r>
      <w:r>
        <w:t xml:space="preserve">. </w:t>
      </w:r>
      <w:r>
        <w:rPr>
          <w:rStyle w:val="EndnoteReference"/>
        </w:rPr>
        <w:endnoteReference w:id="3"/>
      </w:r>
    </w:p>
    <w:p w:rsidR="00D51BED" w:rsidRDefault="00D51BED" w:rsidP="00BB3DB5">
      <w:pPr>
        <w:pStyle w:val="ListParagraph"/>
        <w:numPr>
          <w:ilvl w:val="0"/>
          <w:numId w:val="1"/>
        </w:numPr>
      </w:pPr>
      <w:r>
        <w:t xml:space="preserve">Report 1 rightly questions the effectiveness of my discussion of the </w:t>
      </w:r>
      <w:r>
        <w:rPr>
          <w:i/>
        </w:rPr>
        <w:t>60 Minutes</w:t>
      </w:r>
      <w:r>
        <w:t xml:space="preserve"> story regarding Joseph </w:t>
      </w:r>
      <w:proofErr w:type="spellStart"/>
      <w:r>
        <w:t>Dantica</w:t>
      </w:r>
      <w:proofErr w:type="spellEnd"/>
      <w:r>
        <w:t>, but I feel that that aspect of the article is still vital. In order to address the reviewer’s concern I have done the following:</w:t>
      </w:r>
    </w:p>
    <w:p w:rsidR="00F36121" w:rsidRDefault="00D51BED" w:rsidP="00D51BED">
      <w:pPr>
        <w:pStyle w:val="ListParagraph"/>
        <w:numPr>
          <w:ilvl w:val="1"/>
          <w:numId w:val="1"/>
        </w:numPr>
      </w:pPr>
      <w:r>
        <w:lastRenderedPageBreak/>
        <w:t>I’ve revised my claim that on-line commentary speaks to the feelings of “the majority of viewers” and instead</w:t>
      </w:r>
      <w:r w:rsidR="00E57926">
        <w:t xml:space="preserve"> offered a more exact argument that the story did</w:t>
      </w:r>
      <w:r w:rsidR="00F36121">
        <w:t xml:space="preserve"> </w:t>
      </w:r>
      <w:r w:rsidR="00E57926">
        <w:t>n</w:t>
      </w:r>
      <w:r w:rsidR="00F36121">
        <w:t>o</w:t>
      </w:r>
      <w:r w:rsidR="00E57926">
        <w:t>t prove persuasive to “many viewers.”</w:t>
      </w:r>
    </w:p>
    <w:p w:rsidR="006B09D3" w:rsidRDefault="00F36121" w:rsidP="00D51BED">
      <w:pPr>
        <w:pStyle w:val="ListParagraph"/>
        <w:numPr>
          <w:ilvl w:val="1"/>
          <w:numId w:val="1"/>
        </w:numPr>
      </w:pPr>
      <w:r>
        <w:t>I have added an acknowledgement in note 5 that those with negative responses may be more likely to take the time to offer online commentary.</w:t>
      </w:r>
    </w:p>
    <w:p w:rsidR="00665C55" w:rsidRDefault="00F36121" w:rsidP="006B09D3">
      <w:pPr>
        <w:ind w:left="720"/>
      </w:pPr>
      <w:r>
        <w:t xml:space="preserve"> </w:t>
      </w:r>
      <w:r w:rsidR="006B09D3">
        <w:t xml:space="preserve">I have not, however, addressed the reader’s concern that </w:t>
      </w:r>
      <w:proofErr w:type="spellStart"/>
      <w:r w:rsidR="006B09D3">
        <w:t>Edwidge</w:t>
      </w:r>
      <w:proofErr w:type="spellEnd"/>
      <w:r w:rsidR="006B09D3">
        <w:t xml:space="preserve"> </w:t>
      </w:r>
      <w:proofErr w:type="spellStart"/>
      <w:r w:rsidR="006B09D3">
        <w:t>Danticat</w:t>
      </w:r>
      <w:proofErr w:type="spellEnd"/>
      <w:r w:rsidR="006B09D3">
        <w:t xml:space="preserve"> did not have control over the segment. That is true, but my</w:t>
      </w:r>
      <w:r w:rsidR="00602897">
        <w:t xml:space="preserve"> point in this section</w:t>
      </w:r>
      <w:r w:rsidR="006B09D3">
        <w:t xml:space="preserve"> wasn’t that </w:t>
      </w:r>
      <w:proofErr w:type="spellStart"/>
      <w:r w:rsidR="006B09D3">
        <w:t>Danticat</w:t>
      </w:r>
      <w:proofErr w:type="spellEnd"/>
      <w:r w:rsidR="006B09D3">
        <w:t xml:space="preserve"> was soliciting empathy</w:t>
      </w:r>
      <w:r w:rsidR="000B51D4">
        <w:t xml:space="preserve"> (the reader is right that </w:t>
      </w:r>
      <w:proofErr w:type="spellStart"/>
      <w:r w:rsidR="000B51D4">
        <w:t>Danticat</w:t>
      </w:r>
      <w:proofErr w:type="spellEnd"/>
      <w:r w:rsidR="006B09D3">
        <w:t xml:space="preserve"> doesn’t really have control over that since she doesn’t have control over what of her interview will be broadcas</w:t>
      </w:r>
      <w:r w:rsidR="007914EC">
        <w:t xml:space="preserve">t). Rather, my point was that </w:t>
      </w:r>
      <w:r w:rsidR="004F6A50">
        <w:t>one would expe</w:t>
      </w:r>
      <w:r w:rsidR="004F6A50">
        <w:t xml:space="preserve">ct that the visible signs of </w:t>
      </w:r>
      <w:proofErr w:type="spellStart"/>
      <w:r w:rsidR="004F6A50">
        <w:t>Danticat’s</w:t>
      </w:r>
      <w:proofErr w:type="spellEnd"/>
      <w:r w:rsidR="004F6A50">
        <w:t xml:space="preserve"> grief may </w:t>
      </w:r>
      <w:r w:rsidR="004F6A50">
        <w:t>solic</w:t>
      </w:r>
      <w:r w:rsidR="00D102B2">
        <w:t>it empathy (whether or not she had that intention</w:t>
      </w:r>
      <w:r w:rsidR="004F6A50">
        <w:t xml:space="preserve">), </w:t>
      </w:r>
      <w:r w:rsidR="006D2C77">
        <w:t xml:space="preserve">and yet </w:t>
      </w:r>
      <w:r w:rsidR="00DB3F0F">
        <w:t xml:space="preserve">her grief had little effect on many. </w:t>
      </w:r>
      <w:r w:rsidR="009A0931">
        <w:t>Just let me know if you see</w:t>
      </w:r>
      <w:r w:rsidR="00220B99">
        <w:t xml:space="preserve"> a way </w:t>
      </w:r>
      <w:r w:rsidR="009A0931">
        <w:t xml:space="preserve">that </w:t>
      </w:r>
      <w:r w:rsidR="00220B99">
        <w:t>I can make that point clearer.</w:t>
      </w:r>
    </w:p>
    <w:p w:rsidR="003F0120" w:rsidRDefault="00AF7096" w:rsidP="00AF7096">
      <w:pPr>
        <w:pStyle w:val="ListParagraph"/>
        <w:numPr>
          <w:ilvl w:val="0"/>
          <w:numId w:val="1"/>
        </w:numPr>
      </w:pPr>
      <w:r>
        <w:t xml:space="preserve">I’m not sure if I will have succeeded to the extent Report 1 will like, but I have eschewed a few theory-based quotations, either deciding the idea expressed was repetitive anyhow or choosing to paraphrase. </w:t>
      </w:r>
      <w:r w:rsidR="00D15FA6">
        <w:t>I have, however, kept much of the discussion of Butler in</w:t>
      </w:r>
      <w:r w:rsidR="00437AFD">
        <w:t xml:space="preserve"> despite warnings </w:t>
      </w:r>
      <w:r w:rsidR="00AC24AF">
        <w:t xml:space="preserve">from both readers </w:t>
      </w:r>
      <w:r w:rsidR="00437AFD">
        <w:t xml:space="preserve">that it may overwhelm the focus on </w:t>
      </w:r>
      <w:proofErr w:type="spellStart"/>
      <w:r w:rsidR="00437AFD">
        <w:t>Danticat</w:t>
      </w:r>
      <w:proofErr w:type="spellEnd"/>
      <w:r w:rsidR="00437AFD">
        <w:t xml:space="preserve">. I appreciate that both readers have expressed a desire for the reading of </w:t>
      </w:r>
      <w:proofErr w:type="spellStart"/>
      <w:r w:rsidR="00437AFD">
        <w:t>Danticat’s</w:t>
      </w:r>
      <w:proofErr w:type="spellEnd"/>
      <w:r w:rsidR="00437AFD">
        <w:t xml:space="preserve"> text to be more at the forefront</w:t>
      </w:r>
      <w:r w:rsidR="00D15FA6">
        <w:t xml:space="preserve">, but I’ve found it hard to sacrifice the discussion </w:t>
      </w:r>
      <w:r w:rsidR="0064766E">
        <w:t xml:space="preserve">of Butler.  My sense is that that material </w:t>
      </w:r>
      <w:r w:rsidR="00D15FA6">
        <w:t xml:space="preserve">does contribute something to </w:t>
      </w:r>
      <w:r w:rsidR="00704392">
        <w:t xml:space="preserve">scholarly </w:t>
      </w:r>
      <w:r w:rsidR="00D15FA6">
        <w:t>discussions of Butler</w:t>
      </w:r>
      <w:r w:rsidR="008A2B21">
        <w:t>’s work</w:t>
      </w:r>
      <w:r w:rsidR="00D15FA6">
        <w:t xml:space="preserve"> (I don’t think a consideration of her inconsistent valuing of individuality in </w:t>
      </w:r>
      <w:r w:rsidR="00D15FA6">
        <w:rPr>
          <w:i/>
        </w:rPr>
        <w:t xml:space="preserve">Precarious </w:t>
      </w:r>
      <w:r w:rsidR="00730FA0">
        <w:rPr>
          <w:i/>
        </w:rPr>
        <w:t xml:space="preserve">Lives </w:t>
      </w:r>
      <w:r w:rsidR="00D15FA6">
        <w:t xml:space="preserve">and </w:t>
      </w:r>
      <w:r w:rsidR="00D15FA6">
        <w:rPr>
          <w:i/>
        </w:rPr>
        <w:t>Frames</w:t>
      </w:r>
      <w:r w:rsidR="00730FA0">
        <w:rPr>
          <w:i/>
        </w:rPr>
        <w:t xml:space="preserve"> of War</w:t>
      </w:r>
      <w:r w:rsidR="00D15FA6">
        <w:rPr>
          <w:i/>
        </w:rPr>
        <w:t xml:space="preserve"> </w:t>
      </w:r>
      <w:r w:rsidR="00D15FA6" w:rsidRPr="00D15FA6">
        <w:t>has</w:t>
      </w:r>
      <w:r w:rsidR="00D15FA6">
        <w:t xml:space="preserve"> yet been published)</w:t>
      </w:r>
      <w:r w:rsidR="008A294C">
        <w:t xml:space="preserve"> and that it also establishes the difficult </w:t>
      </w:r>
      <w:r w:rsidR="009D0AE9">
        <w:t xml:space="preserve">post-9/11 terrain that </w:t>
      </w:r>
      <w:proofErr w:type="spellStart"/>
      <w:r w:rsidR="009D0AE9">
        <w:t>Danticat’s</w:t>
      </w:r>
      <w:proofErr w:type="spellEnd"/>
      <w:r w:rsidR="009D0AE9">
        <w:t xml:space="preserve"> memoir must navigate.</w:t>
      </w:r>
      <w:r w:rsidR="00716747">
        <w:t xml:space="preserve"> </w:t>
      </w:r>
    </w:p>
    <w:p w:rsidR="003F0120" w:rsidRDefault="003F0120" w:rsidP="003F0120">
      <w:pPr>
        <w:pStyle w:val="ListParagraph"/>
      </w:pPr>
    </w:p>
    <w:p w:rsidR="00E07408" w:rsidRPr="00303919" w:rsidRDefault="00716747" w:rsidP="003F0120">
      <w:pPr>
        <w:pStyle w:val="ListParagraph"/>
      </w:pPr>
      <w:r>
        <w:t>In order to address the readers’ concerns though, w</w:t>
      </w:r>
      <w:r w:rsidR="0023418B">
        <w:t xml:space="preserve">hat I’ve attempted to do, besides excising some of the quoted material, is to bring the </w:t>
      </w:r>
      <w:proofErr w:type="spellStart"/>
      <w:r w:rsidR="0023418B">
        <w:t>Danticat</w:t>
      </w:r>
      <w:proofErr w:type="spellEnd"/>
      <w:r w:rsidR="0023418B">
        <w:t xml:space="preserve"> focus into the discussion of Butler, so that the two foci are better integ</w:t>
      </w:r>
      <w:r w:rsidR="00FE7028">
        <w:t>rated. For instance, on page nine</w:t>
      </w:r>
      <w:r w:rsidR="0023418B">
        <w:t xml:space="preserve">, I offered the following interjection into the Butler discussion: </w:t>
      </w:r>
      <w:r w:rsidR="009D7ECA">
        <w:t>“</w:t>
      </w:r>
      <w:r w:rsidR="009D7ECA">
        <w:rPr>
          <w:szCs w:val="24"/>
          <w:lang w:eastAsia="en-CA"/>
        </w:rPr>
        <w:t xml:space="preserve">Given the growing doubt that an individual’s story can motivate change, how can </w:t>
      </w:r>
      <w:proofErr w:type="spellStart"/>
      <w:r w:rsidR="009D7ECA">
        <w:rPr>
          <w:szCs w:val="24"/>
          <w:lang w:eastAsia="en-CA"/>
        </w:rPr>
        <w:t>Danticat’s</w:t>
      </w:r>
      <w:proofErr w:type="spellEnd"/>
      <w:r w:rsidR="009D7ECA">
        <w:rPr>
          <w:szCs w:val="24"/>
          <w:lang w:eastAsia="en-CA"/>
        </w:rPr>
        <w:t xml:space="preserve"> humanizing of her uncle through life writing have an impact?” </w:t>
      </w:r>
      <w:r w:rsidR="0023418B">
        <w:rPr>
          <w:szCs w:val="24"/>
          <w:lang w:eastAsia="en-CA"/>
        </w:rPr>
        <w:t xml:space="preserve">With drawing the focus back to </w:t>
      </w:r>
      <w:proofErr w:type="spellStart"/>
      <w:r w:rsidR="0023418B">
        <w:rPr>
          <w:szCs w:val="24"/>
          <w:lang w:eastAsia="en-CA"/>
        </w:rPr>
        <w:t>Danticat</w:t>
      </w:r>
      <w:proofErr w:type="spellEnd"/>
      <w:r w:rsidR="0023418B">
        <w:rPr>
          <w:szCs w:val="24"/>
          <w:lang w:eastAsia="en-CA"/>
        </w:rPr>
        <w:t>, albeit briefly, I hope that the purpose and relevance of the Butler discussion has become clearer.</w:t>
      </w:r>
      <w:r w:rsidR="003F0120">
        <w:rPr>
          <w:szCs w:val="24"/>
          <w:lang w:eastAsia="en-CA"/>
        </w:rPr>
        <w:t xml:space="preserve"> Let me know if you see more integration needing to happen.</w:t>
      </w:r>
    </w:p>
    <w:p w:rsidR="00303919" w:rsidRPr="008C4BB0" w:rsidRDefault="00303919" w:rsidP="00AF7096">
      <w:pPr>
        <w:pStyle w:val="ListParagraph"/>
        <w:numPr>
          <w:ilvl w:val="0"/>
          <w:numId w:val="1"/>
        </w:numPr>
      </w:pPr>
      <w:r>
        <w:rPr>
          <w:szCs w:val="24"/>
          <w:lang w:eastAsia="en-CA"/>
        </w:rPr>
        <w:t>I’m not sure how to address Report 2’s questioning of the possible slipperiness of my use of “</w:t>
      </w:r>
      <w:proofErr w:type="spellStart"/>
      <w:r>
        <w:rPr>
          <w:szCs w:val="24"/>
          <w:lang w:eastAsia="en-CA"/>
        </w:rPr>
        <w:t>narrativize</w:t>
      </w:r>
      <w:proofErr w:type="spellEnd"/>
      <w:r>
        <w:rPr>
          <w:szCs w:val="24"/>
          <w:lang w:eastAsia="en-CA"/>
        </w:rPr>
        <w:t>” and “fictionalize” on page 13 (tha</w:t>
      </w:r>
      <w:r w:rsidR="00052C8C">
        <w:rPr>
          <w:szCs w:val="24"/>
          <w:lang w:eastAsia="en-CA"/>
        </w:rPr>
        <w:t>t section now appears on page</w:t>
      </w:r>
      <w:r w:rsidR="008D29F1">
        <w:rPr>
          <w:szCs w:val="24"/>
          <w:lang w:eastAsia="en-CA"/>
        </w:rPr>
        <w:t>s</w:t>
      </w:r>
      <w:r w:rsidR="00052C8C">
        <w:rPr>
          <w:szCs w:val="24"/>
          <w:lang w:eastAsia="en-CA"/>
        </w:rPr>
        <w:t xml:space="preserve"> </w:t>
      </w:r>
      <w:r w:rsidR="008D29F1">
        <w:rPr>
          <w:szCs w:val="24"/>
          <w:lang w:eastAsia="en-CA"/>
        </w:rPr>
        <w:t>11-</w:t>
      </w:r>
      <w:r w:rsidR="00052C8C">
        <w:rPr>
          <w:szCs w:val="24"/>
          <w:lang w:eastAsia="en-CA"/>
        </w:rPr>
        <w:t>12</w:t>
      </w:r>
      <w:r>
        <w:rPr>
          <w:szCs w:val="24"/>
          <w:lang w:eastAsia="en-CA"/>
        </w:rPr>
        <w:t xml:space="preserve">; it’s the part about </w:t>
      </w:r>
      <w:proofErr w:type="spellStart"/>
      <w:r>
        <w:rPr>
          <w:szCs w:val="24"/>
          <w:lang w:eastAsia="en-CA"/>
        </w:rPr>
        <w:t>Rigoberta</w:t>
      </w:r>
      <w:proofErr w:type="spellEnd"/>
      <w:r>
        <w:rPr>
          <w:szCs w:val="24"/>
          <w:lang w:eastAsia="en-CA"/>
        </w:rPr>
        <w:t xml:space="preserve"> </w:t>
      </w:r>
      <w:proofErr w:type="spellStart"/>
      <w:r>
        <w:rPr>
          <w:szCs w:val="24"/>
          <w:lang w:eastAsia="en-CA"/>
        </w:rPr>
        <w:t>Menchu</w:t>
      </w:r>
      <w:proofErr w:type="spellEnd"/>
      <w:r>
        <w:rPr>
          <w:szCs w:val="24"/>
          <w:lang w:eastAsia="en-CA"/>
        </w:rPr>
        <w:t xml:space="preserve">). I agree that representing reality involves </w:t>
      </w:r>
      <w:proofErr w:type="spellStart"/>
      <w:r>
        <w:rPr>
          <w:szCs w:val="24"/>
          <w:lang w:eastAsia="en-CA"/>
        </w:rPr>
        <w:t>narrativizing</w:t>
      </w:r>
      <w:proofErr w:type="spellEnd"/>
      <w:r>
        <w:rPr>
          <w:szCs w:val="24"/>
          <w:lang w:eastAsia="en-CA"/>
        </w:rPr>
        <w:t xml:space="preserve"> that reality, and </w:t>
      </w:r>
      <w:proofErr w:type="spellStart"/>
      <w:r>
        <w:rPr>
          <w:szCs w:val="24"/>
          <w:lang w:eastAsia="en-CA"/>
        </w:rPr>
        <w:t>narrativizing</w:t>
      </w:r>
      <w:proofErr w:type="spellEnd"/>
      <w:r w:rsidR="004F2331">
        <w:rPr>
          <w:szCs w:val="24"/>
          <w:lang w:eastAsia="en-CA"/>
        </w:rPr>
        <w:t>,</w:t>
      </w:r>
      <w:r>
        <w:rPr>
          <w:szCs w:val="24"/>
          <w:lang w:eastAsia="en-CA"/>
        </w:rPr>
        <w:t xml:space="preserve"> of course</w:t>
      </w:r>
      <w:r w:rsidR="004F2331">
        <w:rPr>
          <w:szCs w:val="24"/>
          <w:lang w:eastAsia="en-CA"/>
        </w:rPr>
        <w:t>,</w:t>
      </w:r>
      <w:r>
        <w:rPr>
          <w:szCs w:val="24"/>
          <w:lang w:eastAsia="en-CA"/>
        </w:rPr>
        <w:t xml:space="preserve"> involves fictionalizing because of the vagaries of memory, the limits of expression, etc. Nevertheless, I was trying to distinguish between </w:t>
      </w:r>
      <w:proofErr w:type="spellStart"/>
      <w:r>
        <w:rPr>
          <w:szCs w:val="24"/>
          <w:lang w:eastAsia="en-CA"/>
        </w:rPr>
        <w:t>Danticat’s</w:t>
      </w:r>
      <w:proofErr w:type="spellEnd"/>
      <w:r>
        <w:rPr>
          <w:szCs w:val="24"/>
          <w:lang w:eastAsia="en-CA"/>
        </w:rPr>
        <w:t xml:space="preserve"> </w:t>
      </w:r>
      <w:proofErr w:type="gramStart"/>
      <w:r>
        <w:rPr>
          <w:szCs w:val="24"/>
          <w:lang w:eastAsia="en-CA"/>
        </w:rPr>
        <w:t>attempt</w:t>
      </w:r>
      <w:proofErr w:type="gramEnd"/>
      <w:r>
        <w:rPr>
          <w:szCs w:val="24"/>
          <w:lang w:eastAsia="en-CA"/>
        </w:rPr>
        <w:t xml:space="preserve"> to narrate in a way that is true to the facts (at least as so fa</w:t>
      </w:r>
      <w:r w:rsidR="007A2EDE">
        <w:rPr>
          <w:szCs w:val="24"/>
          <w:lang w:eastAsia="en-CA"/>
        </w:rPr>
        <w:t xml:space="preserve">r known) vs. </w:t>
      </w:r>
      <w:proofErr w:type="spellStart"/>
      <w:r w:rsidR="007A2EDE">
        <w:rPr>
          <w:szCs w:val="24"/>
          <w:lang w:eastAsia="en-CA"/>
        </w:rPr>
        <w:t>Menchu’s</w:t>
      </w:r>
      <w:proofErr w:type="spellEnd"/>
      <w:r w:rsidR="007A2EDE">
        <w:rPr>
          <w:szCs w:val="24"/>
          <w:lang w:eastAsia="en-CA"/>
        </w:rPr>
        <w:t xml:space="preserve"> choice </w:t>
      </w:r>
      <w:r>
        <w:rPr>
          <w:szCs w:val="24"/>
          <w:lang w:eastAsia="en-CA"/>
        </w:rPr>
        <w:t xml:space="preserve">not </w:t>
      </w:r>
      <w:r w:rsidR="007A2EDE">
        <w:rPr>
          <w:szCs w:val="24"/>
          <w:lang w:eastAsia="en-CA"/>
        </w:rPr>
        <w:t xml:space="preserve">to </w:t>
      </w:r>
      <w:r>
        <w:rPr>
          <w:szCs w:val="24"/>
          <w:lang w:eastAsia="en-CA"/>
        </w:rPr>
        <w:t>adhere to the facts. I’</w:t>
      </w:r>
      <w:r w:rsidR="00101C19">
        <w:rPr>
          <w:szCs w:val="24"/>
          <w:lang w:eastAsia="en-CA"/>
        </w:rPr>
        <w:t xml:space="preserve">m calling </w:t>
      </w:r>
      <w:proofErr w:type="spellStart"/>
      <w:r w:rsidR="00101C19">
        <w:rPr>
          <w:szCs w:val="24"/>
          <w:lang w:eastAsia="en-CA"/>
        </w:rPr>
        <w:t>Menchu’s</w:t>
      </w:r>
      <w:proofErr w:type="spellEnd"/>
      <w:r>
        <w:rPr>
          <w:szCs w:val="24"/>
          <w:lang w:eastAsia="en-CA"/>
        </w:rPr>
        <w:t xml:space="preserve"> testimony fictionalized because her claims of having been present for certain events were proven false</w:t>
      </w:r>
      <w:r w:rsidR="00154DC3">
        <w:rPr>
          <w:szCs w:val="24"/>
          <w:lang w:eastAsia="en-CA"/>
        </w:rPr>
        <w:t xml:space="preserve">, so to me, she’s not </w:t>
      </w:r>
      <w:r w:rsidR="00A0045B">
        <w:rPr>
          <w:szCs w:val="24"/>
          <w:lang w:eastAsia="en-CA"/>
        </w:rPr>
        <w:t xml:space="preserve">just </w:t>
      </w:r>
      <w:proofErr w:type="spellStart"/>
      <w:r w:rsidR="00A0045B">
        <w:rPr>
          <w:szCs w:val="24"/>
          <w:lang w:eastAsia="en-CA"/>
        </w:rPr>
        <w:t>narrativizing</w:t>
      </w:r>
      <w:proofErr w:type="spellEnd"/>
      <w:r w:rsidR="00A0045B">
        <w:rPr>
          <w:szCs w:val="24"/>
          <w:lang w:eastAsia="en-CA"/>
        </w:rPr>
        <w:t xml:space="preserve"> reality, </w:t>
      </w:r>
      <w:proofErr w:type="gramStart"/>
      <w:r w:rsidR="00A0045B">
        <w:rPr>
          <w:szCs w:val="24"/>
          <w:lang w:eastAsia="en-CA"/>
        </w:rPr>
        <w:t>she</w:t>
      </w:r>
      <w:proofErr w:type="gramEnd"/>
      <w:r w:rsidR="00A0045B">
        <w:rPr>
          <w:szCs w:val="24"/>
          <w:lang w:eastAsia="en-CA"/>
        </w:rPr>
        <w:t xml:space="preserve"> i</w:t>
      </w:r>
      <w:r w:rsidR="00154DC3">
        <w:rPr>
          <w:szCs w:val="24"/>
          <w:lang w:eastAsia="en-CA"/>
        </w:rPr>
        <w:t xml:space="preserve">s fictionalizing her representation. I know the slope between the two </w:t>
      </w:r>
      <w:r w:rsidR="00154DC3">
        <w:rPr>
          <w:szCs w:val="24"/>
          <w:lang w:eastAsia="en-CA"/>
        </w:rPr>
        <w:lastRenderedPageBreak/>
        <w:t>terms is tricky; if you have a suggestion for how I should better handle the terminology there, I’d be happy to hear it.</w:t>
      </w:r>
    </w:p>
    <w:p w:rsidR="008C4BB0" w:rsidRPr="00467295" w:rsidRDefault="008C4BB0" w:rsidP="008C4BB0">
      <w:pPr>
        <w:ind w:left="720"/>
      </w:pPr>
      <w:r>
        <w:t>Having said all this though, if the problem was more rooted in my one particular use of “</w:t>
      </w:r>
      <w:proofErr w:type="spellStart"/>
      <w:r>
        <w:t>narrativize</w:t>
      </w:r>
      <w:proofErr w:type="spellEnd"/>
      <w:r>
        <w:t xml:space="preserve">” in “Importantly, to reiterate, it is only in certain circumstances that </w:t>
      </w:r>
      <w:proofErr w:type="spellStart"/>
      <w:r>
        <w:t>Danticat</w:t>
      </w:r>
      <w:proofErr w:type="spellEnd"/>
      <w:r>
        <w:t xml:space="preserve"> demonstrates this unwillingness to </w:t>
      </w:r>
      <w:proofErr w:type="spellStart"/>
      <w:r>
        <w:t>narrativize</w:t>
      </w:r>
      <w:proofErr w:type="spellEnd"/>
      <w:r>
        <w:t xml:space="preserve"> her family’s experiences; [. . .]” then I agree there was a problem there and I have since altered “</w:t>
      </w:r>
      <w:proofErr w:type="spellStart"/>
      <w:r>
        <w:t>narrativize</w:t>
      </w:r>
      <w:proofErr w:type="spellEnd"/>
      <w:r>
        <w:t>” to a focus on “</w:t>
      </w:r>
      <w:r w:rsidR="00F54DB8">
        <w:t>focalization</w:t>
      </w:r>
      <w:r>
        <w:t>”</w:t>
      </w:r>
      <w:r w:rsidR="00F54DB8">
        <w:t xml:space="preserve"> (see page 12).</w:t>
      </w:r>
    </w:p>
    <w:p w:rsidR="00467295" w:rsidRDefault="001E3489" w:rsidP="00AF7096">
      <w:pPr>
        <w:pStyle w:val="ListParagraph"/>
        <w:numPr>
          <w:ilvl w:val="0"/>
          <w:numId w:val="1"/>
        </w:numPr>
      </w:pPr>
      <w:r>
        <w:t xml:space="preserve">Reader 2 mentioned his/her attention lapsing during the section where I was outlining the facts </w:t>
      </w:r>
      <w:proofErr w:type="gramStart"/>
      <w:r>
        <w:t>regarding</w:t>
      </w:r>
      <w:proofErr w:type="gramEnd"/>
      <w:r>
        <w:t xml:space="preserve"> US treatment of Haitian immigrants, while Reader 1 also mentioned my need to assert more control over those facts. Since I do feel those facts are vital to the article (mostly because no one has yet offered a sense of that social context for Joseph </w:t>
      </w:r>
      <w:proofErr w:type="spellStart"/>
      <w:r>
        <w:t>Dantica’s</w:t>
      </w:r>
      <w:proofErr w:type="spellEnd"/>
      <w:r>
        <w:t xml:space="preserve"> experiences), I have, thanks to the suggestions of a historian colleague, hopefully improved the writing style of that section to make it a bit more interesting. </w:t>
      </w:r>
    </w:p>
    <w:p w:rsidR="00012C76" w:rsidRDefault="00AE329C" w:rsidP="006E2246">
      <w:pPr>
        <w:pStyle w:val="ListParagraph"/>
        <w:numPr>
          <w:ilvl w:val="0"/>
          <w:numId w:val="1"/>
        </w:numPr>
      </w:pPr>
      <w:r>
        <w:t>I’m not sure that I’ve fully addressed the edito</w:t>
      </w:r>
      <w:r w:rsidR="00012C76">
        <w:t xml:space="preserve">rs’ summary </w:t>
      </w:r>
      <w:r>
        <w:t xml:space="preserve">which indicated that I needed to expand the discussion of </w:t>
      </w:r>
      <w:proofErr w:type="spellStart"/>
      <w:r>
        <w:t>Danticat’s</w:t>
      </w:r>
      <w:proofErr w:type="spellEnd"/>
      <w:r>
        <w:t xml:space="preserve"> text. I have, however, </w:t>
      </w:r>
      <w:r w:rsidR="00DD0962">
        <w:t xml:space="preserve">tried </w:t>
      </w:r>
      <w:r>
        <w:t xml:space="preserve">to address Report 2’s </w:t>
      </w:r>
      <w:r w:rsidR="00DD0962">
        <w:t xml:space="preserve">specific </w:t>
      </w:r>
      <w:r>
        <w:t xml:space="preserve">suggestion that my declaration of </w:t>
      </w:r>
      <w:proofErr w:type="spellStart"/>
      <w:r>
        <w:t>Dantica’s</w:t>
      </w:r>
      <w:proofErr w:type="spellEnd"/>
      <w:r>
        <w:t xml:space="preserve"> return as an “interiorized character” wasn’t enough. I’ve added a small bit in about this return equalling a form of resurrection.</w:t>
      </w:r>
      <w:r w:rsidR="004D043D">
        <w:rPr>
          <w:rStyle w:val="EndnoteReference"/>
        </w:rPr>
        <w:endnoteReference w:id="4"/>
      </w:r>
      <w:r>
        <w:t xml:space="preserve"> </w:t>
      </w:r>
    </w:p>
    <w:p w:rsidR="00012C76" w:rsidRDefault="00012C76" w:rsidP="00012C76">
      <w:pPr>
        <w:pStyle w:val="ListParagraph"/>
      </w:pPr>
    </w:p>
    <w:p w:rsidR="006E2246" w:rsidRDefault="00AE329C" w:rsidP="00012C76">
      <w:pPr>
        <w:pStyle w:val="ListParagraph"/>
      </w:pPr>
      <w:r>
        <w:t xml:space="preserve">If you still think that the discussion there needs to be expanded, I could do some work with a later scene that </w:t>
      </w:r>
      <w:proofErr w:type="spellStart"/>
      <w:r>
        <w:t>Danticat</w:t>
      </w:r>
      <w:proofErr w:type="spellEnd"/>
      <w:r>
        <w:t xml:space="preserve"> includes – a story of her uncle’s most haunting experience as a child; it too appears shortly after his death is narrated – but my sense is that the article is more streamlined towards the concluding arguments without anything added. </w:t>
      </w:r>
      <w:r w:rsidR="006E2246">
        <w:t xml:space="preserve">I’m hoping that with </w:t>
      </w:r>
      <w:proofErr w:type="gramStart"/>
      <w:r w:rsidR="006E2246">
        <w:t>the</w:t>
      </w:r>
      <w:proofErr w:type="gramEnd"/>
      <w:r w:rsidR="006E2246">
        <w:t xml:space="preserve"> other revisions, the balance of the article between theory and close reading is now working better anyhow.</w:t>
      </w:r>
    </w:p>
    <w:p w:rsidR="00BE3B3F" w:rsidRDefault="008A44B6" w:rsidP="006E2246">
      <w:pPr>
        <w:pStyle w:val="ListParagraph"/>
        <w:numPr>
          <w:ilvl w:val="0"/>
          <w:numId w:val="1"/>
        </w:numPr>
      </w:pPr>
      <w:r>
        <w:t xml:space="preserve">Although Report 2’s suggestions to incorporate scholarship on ethics and </w:t>
      </w:r>
      <w:proofErr w:type="spellStart"/>
      <w:r>
        <w:t>alterity</w:t>
      </w:r>
      <w:proofErr w:type="spellEnd"/>
      <w:r>
        <w:t xml:space="preserve"> and</w:t>
      </w:r>
      <w:r w:rsidR="00C31063">
        <w:t xml:space="preserve"> to</w:t>
      </w:r>
      <w:r>
        <w:t xml:space="preserve"> include discussion of </w:t>
      </w:r>
      <w:proofErr w:type="spellStart"/>
      <w:r>
        <w:t>Bakhtin’s</w:t>
      </w:r>
      <w:proofErr w:type="spellEnd"/>
      <w:r>
        <w:t xml:space="preserve"> dialogic are great ideas, I have</w:t>
      </w:r>
      <w:r w:rsidR="00BE0AA1">
        <w:t xml:space="preserve"> not pursued these paths</w:t>
      </w:r>
      <w:r>
        <w:t xml:space="preserve">. Since the theory parts already have been said to possibly overwhelm the article, I decided that I couldn’t add in more </w:t>
      </w:r>
      <w:proofErr w:type="gramStart"/>
      <w:r>
        <w:t>theory.</w:t>
      </w:r>
      <w:proofErr w:type="gramEnd"/>
      <w:r>
        <w:t xml:space="preserve"> . . or at least I couldn’</w:t>
      </w:r>
      <w:r w:rsidR="00554ED1">
        <w:t xml:space="preserve">t conceive </w:t>
      </w:r>
      <w:r>
        <w:t xml:space="preserve">a way that would allow me to do so and still keep the article well-enough focussed. </w:t>
      </w:r>
    </w:p>
    <w:p w:rsidR="00236C68" w:rsidRDefault="00236C68" w:rsidP="006E2246">
      <w:pPr>
        <w:pStyle w:val="ListParagraph"/>
        <w:numPr>
          <w:ilvl w:val="0"/>
          <w:numId w:val="1"/>
        </w:numPr>
      </w:pPr>
      <w:r>
        <w:t xml:space="preserve">Report 2 noted that affective citizenship (pg. 5, now pg. 4) should maybe stand between speech marks. I wasn’t sure about that, so I’ve left it as is. I have, however, left “frames” in speech marks on pg. 3 because I’m using that term in Butler’s </w:t>
      </w:r>
      <w:r w:rsidR="00FD0396">
        <w:t xml:space="preserve">specific </w:t>
      </w:r>
      <w:r w:rsidR="0065602B">
        <w:t xml:space="preserve">configuration of it. So, </w:t>
      </w:r>
      <w:r>
        <w:t>perhaps I’m being inconsistent in my handling of punctuation with theoretical concepts. I’m hoping a copy-editor would be able to make the ruling on whether quotation marks are in fact necessary or not when referring to these terms.</w:t>
      </w:r>
    </w:p>
    <w:p w:rsidR="00223302" w:rsidRDefault="00223302" w:rsidP="006E2246">
      <w:pPr>
        <w:pStyle w:val="ListParagraph"/>
        <w:numPr>
          <w:ilvl w:val="0"/>
          <w:numId w:val="1"/>
        </w:numPr>
      </w:pPr>
      <w:r>
        <w:t>Although separate from the requests from the readers, I have added a brief Acknowledgements note.</w:t>
      </w:r>
    </w:p>
    <w:p w:rsidR="00C109B0" w:rsidRDefault="00C109B0" w:rsidP="006E2246">
      <w:pPr>
        <w:pStyle w:val="ListParagraph"/>
        <w:numPr>
          <w:ilvl w:val="0"/>
          <w:numId w:val="1"/>
        </w:numPr>
      </w:pPr>
      <w:r>
        <w:t>Also, a</w:t>
      </w:r>
      <w:r w:rsidR="006F4DCC">
        <w:t>lthough neither reader has commented about</w:t>
      </w:r>
      <w:r>
        <w:t xml:space="preserve"> the length of the endnotes, I would be willing to reconsider their extensiveness. As you’ve probably noticed, the notes</w:t>
      </w:r>
      <w:r w:rsidR="00D24089">
        <w:t xml:space="preserve"> </w:t>
      </w:r>
      <w:r>
        <w:t>tell a much larger story about U.S./Haiti relations</w:t>
      </w:r>
      <w:r w:rsidR="00D24089">
        <w:t xml:space="preserve"> than I’ve included in the article itself</w:t>
      </w:r>
      <w:r>
        <w:t xml:space="preserve">. I think that offering </w:t>
      </w:r>
      <w:r>
        <w:lastRenderedPageBreak/>
        <w:t xml:space="preserve">that info is important because no one has published material regarding the social context surrounding the events represented by this text, </w:t>
      </w:r>
      <w:r w:rsidR="00E47C26">
        <w:t>but if asked, I c</w:t>
      </w:r>
      <w:r w:rsidR="00207E29">
        <w:t>ould consider condensing</w:t>
      </w:r>
      <w:r w:rsidR="00E47C26">
        <w:t xml:space="preserve"> some of that material</w:t>
      </w:r>
      <w:r>
        <w:t xml:space="preserve">. </w:t>
      </w:r>
      <w:r w:rsidR="001D2B6E">
        <w:t>S</w:t>
      </w:r>
      <w:r w:rsidR="001D2B6E">
        <w:t>ince neither peer reviewer noted a problem (in fact, one even suggested more notes! (-:)</w:t>
      </w:r>
      <w:r w:rsidR="001D2B6E">
        <w:t xml:space="preserve">, </w:t>
      </w:r>
      <w:r>
        <w:t>I’</w:t>
      </w:r>
      <w:r w:rsidR="0080286D">
        <w:t>ve left them</w:t>
      </w:r>
      <w:r>
        <w:t xml:space="preserve"> ‘as is’ for this submission </w:t>
      </w:r>
    </w:p>
    <w:p w:rsidR="00B1096E" w:rsidRDefault="00B1096E" w:rsidP="00B1096E">
      <w:r>
        <w:t xml:space="preserve">Thank you for the time that </w:t>
      </w:r>
      <w:r>
        <w:rPr>
          <w:i/>
        </w:rPr>
        <w:t>Ariel</w:t>
      </w:r>
      <w:r>
        <w:t xml:space="preserve"> has given to this article. I hope the revisions that I have made will help see this article through to an acceptance. </w:t>
      </w:r>
    </w:p>
    <w:p w:rsidR="00B1096E" w:rsidRDefault="00B1096E" w:rsidP="00B1096E">
      <w:r>
        <w:t>All the best,</w:t>
      </w:r>
    </w:p>
    <w:p w:rsidR="00B1096E" w:rsidRDefault="00B1096E" w:rsidP="00B1096E">
      <w:r>
        <w:t>Veronica Austen</w:t>
      </w:r>
    </w:p>
    <w:p w:rsidR="005774C9" w:rsidRDefault="005774C9" w:rsidP="005774C9">
      <w:pPr>
        <w:spacing w:after="0" w:line="240" w:lineRule="auto"/>
      </w:pPr>
      <w:r>
        <w:t>Assistant Professor</w:t>
      </w:r>
    </w:p>
    <w:p w:rsidR="005774C9" w:rsidRDefault="005774C9" w:rsidP="005774C9">
      <w:pPr>
        <w:spacing w:after="0" w:line="240" w:lineRule="auto"/>
      </w:pPr>
      <w:r>
        <w:t>Department of English</w:t>
      </w:r>
    </w:p>
    <w:p w:rsidR="005774C9" w:rsidRDefault="005774C9" w:rsidP="005774C9">
      <w:pPr>
        <w:spacing w:after="0" w:line="240" w:lineRule="auto"/>
      </w:pPr>
      <w:r>
        <w:t>St. Jerome’s University</w:t>
      </w:r>
    </w:p>
    <w:p w:rsidR="005774C9" w:rsidRDefault="005774C9" w:rsidP="005774C9">
      <w:pPr>
        <w:spacing w:after="0" w:line="240" w:lineRule="auto"/>
      </w:pPr>
      <w:r>
        <w:tab/>
      </w:r>
      <w:proofErr w:type="gramStart"/>
      <w:r>
        <w:t>at</w:t>
      </w:r>
      <w:proofErr w:type="gramEnd"/>
      <w:r>
        <w:t xml:space="preserve"> the University of Waterloo</w:t>
      </w:r>
    </w:p>
    <w:p w:rsidR="00DB5713" w:rsidRDefault="00DB5713" w:rsidP="005774C9">
      <w:pPr>
        <w:spacing w:after="0" w:line="240" w:lineRule="auto"/>
      </w:pPr>
    </w:p>
    <w:p w:rsidR="00DB5713" w:rsidRPr="00B1096E" w:rsidRDefault="00DB5713" w:rsidP="005774C9">
      <w:pPr>
        <w:spacing w:after="0" w:line="240" w:lineRule="auto"/>
      </w:pPr>
    </w:p>
    <w:sectPr w:rsidR="00DB5713" w:rsidRPr="00B109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CA" w:rsidRDefault="00042FCA" w:rsidP="00DF4CF0">
      <w:pPr>
        <w:spacing w:after="0" w:line="240" w:lineRule="auto"/>
      </w:pPr>
      <w:r>
        <w:separator/>
      </w:r>
    </w:p>
  </w:endnote>
  <w:endnote w:type="continuationSeparator" w:id="0">
    <w:p w:rsidR="00042FCA" w:rsidRDefault="00042FCA" w:rsidP="00DF4CF0">
      <w:pPr>
        <w:spacing w:after="0" w:line="240" w:lineRule="auto"/>
      </w:pPr>
      <w:r>
        <w:continuationSeparator/>
      </w:r>
    </w:p>
  </w:endnote>
  <w:endnote w:id="1">
    <w:p w:rsidR="00DF4CF0" w:rsidRPr="003820D0" w:rsidRDefault="00DF4CF0">
      <w:pPr>
        <w:pStyle w:val="EndnoteText"/>
      </w:pPr>
      <w:r w:rsidRPr="003820D0">
        <w:rPr>
          <w:rStyle w:val="EndnoteReference"/>
        </w:rPr>
        <w:endnoteRef/>
      </w:r>
      <w:r w:rsidRPr="003820D0">
        <w:t xml:space="preserve"> Part omitted: Similarly, such critics as </w:t>
      </w:r>
      <w:proofErr w:type="spellStart"/>
      <w:r w:rsidRPr="003820D0">
        <w:t>Nandini</w:t>
      </w:r>
      <w:proofErr w:type="spellEnd"/>
      <w:r w:rsidRPr="003820D0">
        <w:t xml:space="preserve"> </w:t>
      </w:r>
      <w:proofErr w:type="spellStart"/>
      <w:r w:rsidRPr="003820D0">
        <w:t>Dhar</w:t>
      </w:r>
      <w:proofErr w:type="spellEnd"/>
      <w:r w:rsidRPr="003820D0">
        <w:t xml:space="preserve">, Maureen </w:t>
      </w:r>
      <w:proofErr w:type="spellStart"/>
      <w:r w:rsidRPr="003820D0">
        <w:t>Moynagh</w:t>
      </w:r>
      <w:proofErr w:type="spellEnd"/>
      <w:r w:rsidRPr="003820D0">
        <w:t xml:space="preserve">, and Heike </w:t>
      </w:r>
      <w:proofErr w:type="spellStart"/>
      <w:r w:rsidRPr="003820D0">
        <w:t>Härting</w:t>
      </w:r>
      <w:proofErr w:type="spellEnd"/>
      <w:r w:rsidRPr="003820D0">
        <w:t xml:space="preserve">, in focusing on haunting as a manifestation of mourning and/or melancholia, suggest that these emotions of loss inspire an imperative to seek justice and redress for others. </w:t>
      </w:r>
      <w:proofErr w:type="spellStart"/>
      <w:r w:rsidRPr="003820D0">
        <w:t>Härting</w:t>
      </w:r>
      <w:proofErr w:type="spellEnd"/>
      <w:r w:rsidRPr="003820D0">
        <w:t>, for instance, noting mourning as interminable (</w:t>
      </w:r>
      <w:proofErr w:type="spellStart"/>
      <w:r w:rsidRPr="003820D0">
        <w:t>Dhar</w:t>
      </w:r>
      <w:proofErr w:type="spellEnd"/>
      <w:r w:rsidRPr="003820D0">
        <w:t xml:space="preserve"> and </w:t>
      </w:r>
      <w:proofErr w:type="spellStart"/>
      <w:r w:rsidRPr="003820D0">
        <w:t>Moynagh</w:t>
      </w:r>
      <w:proofErr w:type="spellEnd"/>
      <w:r w:rsidRPr="003820D0">
        <w:t xml:space="preserve"> would suggest mourning to be temporary and melancholy to be the more interminable expression of grief), constructs it as a “work process, through which to question the nature and constitution of social justice” (194).</w:t>
      </w:r>
    </w:p>
  </w:endnote>
  <w:endnote w:id="2">
    <w:p w:rsidR="00865FD8" w:rsidRPr="003820D0" w:rsidRDefault="00865FD8" w:rsidP="00665C55">
      <w:pPr>
        <w:widowControl w:val="0"/>
        <w:spacing w:line="240" w:lineRule="auto"/>
        <w:rPr>
          <w:sz w:val="20"/>
          <w:szCs w:val="20"/>
        </w:rPr>
      </w:pPr>
    </w:p>
    <w:p w:rsidR="00665C55" w:rsidRPr="003820D0" w:rsidRDefault="00665C55" w:rsidP="00665C55">
      <w:pPr>
        <w:widowControl w:val="0"/>
        <w:spacing w:line="240" w:lineRule="auto"/>
        <w:rPr>
          <w:sz w:val="20"/>
          <w:szCs w:val="20"/>
        </w:rPr>
      </w:pPr>
      <w:r w:rsidRPr="003820D0">
        <w:rPr>
          <w:rStyle w:val="EndnoteReference"/>
          <w:sz w:val="20"/>
          <w:szCs w:val="20"/>
        </w:rPr>
        <w:endnoteRef/>
      </w:r>
      <w:r w:rsidRPr="003820D0">
        <w:rPr>
          <w:sz w:val="20"/>
          <w:szCs w:val="20"/>
        </w:rPr>
        <w:t xml:space="preserve"> Part omitted: Arguing that our emotional relationships with others bring to light our own experience of vulnerability, and that that experience of vulnerability can make us more conscious of and empathetic towards the </w:t>
      </w:r>
      <w:proofErr w:type="spellStart"/>
      <w:r w:rsidRPr="003820D0">
        <w:rPr>
          <w:sz w:val="20"/>
          <w:szCs w:val="20"/>
        </w:rPr>
        <w:t>precarity</w:t>
      </w:r>
      <w:proofErr w:type="spellEnd"/>
      <w:r w:rsidRPr="003820D0">
        <w:rPr>
          <w:sz w:val="20"/>
          <w:szCs w:val="20"/>
        </w:rPr>
        <w:t xml:space="preserve"> of others, Butler, in </w:t>
      </w:r>
      <w:r w:rsidRPr="003820D0">
        <w:rPr>
          <w:i/>
          <w:sz w:val="20"/>
          <w:szCs w:val="20"/>
        </w:rPr>
        <w:t>Precarious Life</w:t>
      </w:r>
      <w:r w:rsidRPr="003820D0">
        <w:rPr>
          <w:sz w:val="20"/>
          <w:szCs w:val="20"/>
        </w:rPr>
        <w:t xml:space="preserve">, locates a means of forging community across difference. </w:t>
      </w:r>
      <w:proofErr w:type="gramStart"/>
      <w:r w:rsidRPr="003820D0">
        <w:rPr>
          <w:sz w:val="20"/>
          <w:szCs w:val="20"/>
        </w:rPr>
        <w:t>As she asserts, our awareness of “the thrall in which our relations with others hold us [. . .] interrupt[s] the self-conscious account of ourselves we might try to provide” (</w:t>
      </w:r>
      <w:r w:rsidRPr="003820D0">
        <w:rPr>
          <w:i/>
          <w:sz w:val="20"/>
          <w:szCs w:val="20"/>
        </w:rPr>
        <w:t xml:space="preserve">Precarious </w:t>
      </w:r>
      <w:r w:rsidRPr="003820D0">
        <w:rPr>
          <w:sz w:val="20"/>
          <w:szCs w:val="20"/>
        </w:rPr>
        <w:t>23).</w:t>
      </w:r>
      <w:proofErr w:type="gramEnd"/>
      <w:r w:rsidRPr="003820D0">
        <w:rPr>
          <w:sz w:val="20"/>
          <w:szCs w:val="20"/>
        </w:rPr>
        <w:t xml:space="preserve"> Furthermore, this awareness functions to “challenge the very notion of ourselves as autonomous and in control” (</w:t>
      </w:r>
      <w:r w:rsidRPr="003820D0">
        <w:rPr>
          <w:i/>
          <w:sz w:val="20"/>
          <w:szCs w:val="20"/>
        </w:rPr>
        <w:t xml:space="preserve">Precarious </w:t>
      </w:r>
      <w:r w:rsidRPr="003820D0">
        <w:rPr>
          <w:sz w:val="20"/>
          <w:szCs w:val="20"/>
        </w:rPr>
        <w:t xml:space="preserve">23). </w:t>
      </w:r>
      <w:proofErr w:type="gramStart"/>
      <w:r w:rsidRPr="003820D0">
        <w:rPr>
          <w:sz w:val="20"/>
          <w:szCs w:val="20"/>
        </w:rPr>
        <w:t>In other words, as she writes, “I cannot muster the ‘we’ except by finding the way in which I am tied to ‘you’” (</w:t>
      </w:r>
      <w:r w:rsidRPr="003820D0">
        <w:rPr>
          <w:i/>
          <w:sz w:val="20"/>
          <w:szCs w:val="20"/>
        </w:rPr>
        <w:t xml:space="preserve">Precarious </w:t>
      </w:r>
      <w:r w:rsidRPr="003820D0">
        <w:rPr>
          <w:sz w:val="20"/>
          <w:szCs w:val="20"/>
        </w:rPr>
        <w:t>49).</w:t>
      </w:r>
      <w:proofErr w:type="gramEnd"/>
      <w:r w:rsidRPr="003820D0">
        <w:rPr>
          <w:sz w:val="20"/>
          <w:szCs w:val="20"/>
        </w:rPr>
        <w:t xml:space="preserve"> Butler here is arguing for an awareness of self as relational and thereby for a </w:t>
      </w:r>
      <w:proofErr w:type="spellStart"/>
      <w:r w:rsidRPr="003820D0">
        <w:rPr>
          <w:sz w:val="20"/>
          <w:szCs w:val="20"/>
        </w:rPr>
        <w:t>self capable</w:t>
      </w:r>
      <w:proofErr w:type="spellEnd"/>
      <w:r w:rsidRPr="003820D0">
        <w:rPr>
          <w:sz w:val="20"/>
          <w:szCs w:val="20"/>
        </w:rPr>
        <w:t xml:space="preserve"> of empathy. (Her argument, as I will eventually explore, does shift somewhat in her later text </w:t>
      </w:r>
      <w:r w:rsidRPr="003820D0">
        <w:rPr>
          <w:i/>
          <w:sz w:val="20"/>
          <w:szCs w:val="20"/>
        </w:rPr>
        <w:t>Frames of War</w:t>
      </w:r>
      <w:r w:rsidRPr="003820D0">
        <w:rPr>
          <w:sz w:val="20"/>
          <w:szCs w:val="20"/>
        </w:rPr>
        <w:t>.)</w:t>
      </w:r>
    </w:p>
    <w:p w:rsidR="00665C55" w:rsidRPr="003820D0" w:rsidRDefault="00665C55">
      <w:pPr>
        <w:pStyle w:val="EndnoteText"/>
      </w:pPr>
    </w:p>
  </w:endnote>
  <w:endnote w:id="3">
    <w:p w:rsidR="00264651" w:rsidRPr="003820D0" w:rsidRDefault="00264651">
      <w:pPr>
        <w:pStyle w:val="EndnoteText"/>
      </w:pPr>
      <w:r w:rsidRPr="003820D0">
        <w:rPr>
          <w:rStyle w:val="EndnoteReference"/>
        </w:rPr>
        <w:endnoteRef/>
      </w:r>
      <w:r w:rsidRPr="003820D0">
        <w:t xml:space="preserve"> Part Added: </w:t>
      </w:r>
      <w:proofErr w:type="spellStart"/>
      <w:r w:rsidRPr="003820D0">
        <w:t>Danticat</w:t>
      </w:r>
      <w:proofErr w:type="spellEnd"/>
      <w:r w:rsidRPr="003820D0">
        <w:t xml:space="preserve"> must not be perceived as disrespecting the </w:t>
      </w:r>
      <w:proofErr w:type="spellStart"/>
      <w:r w:rsidRPr="003820D0">
        <w:t>unknowability</w:t>
      </w:r>
      <w:proofErr w:type="spellEnd"/>
      <w:r w:rsidRPr="003820D0">
        <w:t xml:space="preserve"> or her uncle’s experience nor can she allow the audience to feel an unself-conscious intimacy with him. Nevertheless, while preserving a respectful distance from Joseph </w:t>
      </w:r>
      <w:proofErr w:type="spellStart"/>
      <w:r w:rsidRPr="003820D0">
        <w:t>Dantica’s</w:t>
      </w:r>
      <w:proofErr w:type="spellEnd"/>
      <w:r w:rsidRPr="003820D0">
        <w:t xml:space="preserve"> reality, </w:t>
      </w:r>
      <w:proofErr w:type="spellStart"/>
      <w:r w:rsidRPr="003820D0">
        <w:t>Danticat</w:t>
      </w:r>
      <w:proofErr w:type="spellEnd"/>
      <w:r w:rsidRPr="003820D0">
        <w:t xml:space="preserve"> must all the while ensure that her audience connects with him, his otherness minimized.</w:t>
      </w:r>
    </w:p>
    <w:p w:rsidR="003820D0" w:rsidRPr="003820D0" w:rsidRDefault="003820D0">
      <w:pPr>
        <w:pStyle w:val="EndnoteText"/>
      </w:pPr>
    </w:p>
  </w:endnote>
  <w:endnote w:id="4">
    <w:p w:rsidR="0033130B" w:rsidRPr="003820D0" w:rsidRDefault="004D043D" w:rsidP="0033130B">
      <w:pPr>
        <w:widowControl w:val="0"/>
        <w:spacing w:line="240" w:lineRule="auto"/>
        <w:rPr>
          <w:sz w:val="20"/>
          <w:szCs w:val="20"/>
        </w:rPr>
      </w:pPr>
      <w:r w:rsidRPr="003820D0">
        <w:rPr>
          <w:rStyle w:val="EndnoteReference"/>
          <w:sz w:val="20"/>
          <w:szCs w:val="20"/>
        </w:rPr>
        <w:endnoteRef/>
      </w:r>
      <w:r w:rsidRPr="003820D0">
        <w:rPr>
          <w:sz w:val="20"/>
          <w:szCs w:val="20"/>
        </w:rPr>
        <w:t xml:space="preserve"> Part Added: As such, because of her manipulation of narrative order so that this flashback appears directly after the narration of her uncle’s death, </w:t>
      </w:r>
      <w:proofErr w:type="spellStart"/>
      <w:r w:rsidRPr="003820D0">
        <w:rPr>
          <w:sz w:val="20"/>
          <w:szCs w:val="20"/>
        </w:rPr>
        <w:t>Edwidge</w:t>
      </w:r>
      <w:proofErr w:type="spellEnd"/>
      <w:r w:rsidRPr="003820D0">
        <w:rPr>
          <w:sz w:val="20"/>
          <w:szCs w:val="20"/>
        </w:rPr>
        <w:t xml:space="preserve"> </w:t>
      </w:r>
      <w:proofErr w:type="spellStart"/>
      <w:r w:rsidRPr="003820D0">
        <w:rPr>
          <w:sz w:val="20"/>
          <w:szCs w:val="20"/>
        </w:rPr>
        <w:t>Danticat</w:t>
      </w:r>
      <w:proofErr w:type="spellEnd"/>
      <w:r w:rsidRPr="003820D0">
        <w:rPr>
          <w:sz w:val="20"/>
          <w:szCs w:val="20"/>
        </w:rPr>
        <w:t xml:space="preserve"> has allowed her uncle to experience a pseudo-resurrection. </w:t>
      </w:r>
      <w:r w:rsidR="0033130B" w:rsidRPr="003820D0">
        <w:rPr>
          <w:sz w:val="20"/>
          <w:szCs w:val="20"/>
        </w:rPr>
        <w:t xml:space="preserve">This resurrection is literal – he, thanks to the order of these scenes, returns to life.  But this resurrection is also more abstract – he returns as an interiorized character; his humanity is restored. </w:t>
      </w:r>
      <w:bookmarkStart w:id="0" w:name="_GoBack"/>
      <w:bookmarkEnd w:id="0"/>
    </w:p>
    <w:p w:rsidR="004D043D" w:rsidRPr="00865FD8" w:rsidRDefault="004D043D" w:rsidP="00865FD8">
      <w:pPr>
        <w:widowControl w:val="0"/>
        <w:spacing w:line="240" w:lineRule="auto"/>
        <w:rPr>
          <w:sz w:val="24"/>
          <w:szCs w:val="24"/>
        </w:rPr>
      </w:pPr>
    </w:p>
    <w:p w:rsidR="004D043D" w:rsidRPr="00865FD8" w:rsidRDefault="004D043D">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CA" w:rsidRDefault="00042FCA" w:rsidP="00DF4CF0">
      <w:pPr>
        <w:spacing w:after="0" w:line="240" w:lineRule="auto"/>
      </w:pPr>
      <w:r>
        <w:separator/>
      </w:r>
    </w:p>
  </w:footnote>
  <w:footnote w:type="continuationSeparator" w:id="0">
    <w:p w:rsidR="00042FCA" w:rsidRDefault="00042FCA" w:rsidP="00DF4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748F"/>
    <w:multiLevelType w:val="hybridMultilevel"/>
    <w:tmpl w:val="C0BC89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5B74689"/>
    <w:multiLevelType w:val="hybridMultilevel"/>
    <w:tmpl w:val="8FBED5A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F8"/>
    <w:rsid w:val="00012C76"/>
    <w:rsid w:val="0001484D"/>
    <w:rsid w:val="0002634F"/>
    <w:rsid w:val="00037F35"/>
    <w:rsid w:val="00042F28"/>
    <w:rsid w:val="00042FCA"/>
    <w:rsid w:val="00052C8C"/>
    <w:rsid w:val="00071684"/>
    <w:rsid w:val="000B51D4"/>
    <w:rsid w:val="000B524C"/>
    <w:rsid w:val="00101C19"/>
    <w:rsid w:val="00154DC3"/>
    <w:rsid w:val="001D2B6E"/>
    <w:rsid w:val="001E3489"/>
    <w:rsid w:val="00207E29"/>
    <w:rsid w:val="00220B99"/>
    <w:rsid w:val="00223302"/>
    <w:rsid w:val="00226C6A"/>
    <w:rsid w:val="0023418B"/>
    <w:rsid w:val="00236C68"/>
    <w:rsid w:val="00264651"/>
    <w:rsid w:val="0027320B"/>
    <w:rsid w:val="00303919"/>
    <w:rsid w:val="0033130B"/>
    <w:rsid w:val="003820D0"/>
    <w:rsid w:val="003F0120"/>
    <w:rsid w:val="003F7645"/>
    <w:rsid w:val="00402521"/>
    <w:rsid w:val="0040374A"/>
    <w:rsid w:val="0040654B"/>
    <w:rsid w:val="0042088B"/>
    <w:rsid w:val="00437AFD"/>
    <w:rsid w:val="00467295"/>
    <w:rsid w:val="004D043D"/>
    <w:rsid w:val="004F2331"/>
    <w:rsid w:val="004F6A50"/>
    <w:rsid w:val="00525FEB"/>
    <w:rsid w:val="00534540"/>
    <w:rsid w:val="00554ED1"/>
    <w:rsid w:val="005774C9"/>
    <w:rsid w:val="00602897"/>
    <w:rsid w:val="0063691E"/>
    <w:rsid w:val="0064766E"/>
    <w:rsid w:val="0065602B"/>
    <w:rsid w:val="00665C55"/>
    <w:rsid w:val="00682B87"/>
    <w:rsid w:val="00696523"/>
    <w:rsid w:val="00696CCB"/>
    <w:rsid w:val="006B09D3"/>
    <w:rsid w:val="006B6A7A"/>
    <w:rsid w:val="006D2C77"/>
    <w:rsid w:val="006E2246"/>
    <w:rsid w:val="006F4DCC"/>
    <w:rsid w:val="00704392"/>
    <w:rsid w:val="00716747"/>
    <w:rsid w:val="00730FA0"/>
    <w:rsid w:val="007914EC"/>
    <w:rsid w:val="00795A02"/>
    <w:rsid w:val="007A2EDE"/>
    <w:rsid w:val="0080286D"/>
    <w:rsid w:val="00812707"/>
    <w:rsid w:val="00833D9F"/>
    <w:rsid w:val="008366BE"/>
    <w:rsid w:val="00865FD8"/>
    <w:rsid w:val="008A294C"/>
    <w:rsid w:val="008A2B21"/>
    <w:rsid w:val="008A44B6"/>
    <w:rsid w:val="008C4BB0"/>
    <w:rsid w:val="008D29F1"/>
    <w:rsid w:val="00994BF5"/>
    <w:rsid w:val="009A0931"/>
    <w:rsid w:val="009D0AE9"/>
    <w:rsid w:val="009D7ECA"/>
    <w:rsid w:val="00A0045B"/>
    <w:rsid w:val="00A03AB4"/>
    <w:rsid w:val="00A43E64"/>
    <w:rsid w:val="00A95026"/>
    <w:rsid w:val="00AB144B"/>
    <w:rsid w:val="00AC24AF"/>
    <w:rsid w:val="00AE3254"/>
    <w:rsid w:val="00AE329C"/>
    <w:rsid w:val="00AF7096"/>
    <w:rsid w:val="00B1096E"/>
    <w:rsid w:val="00BB3DB5"/>
    <w:rsid w:val="00BE0AA1"/>
    <w:rsid w:val="00BE2573"/>
    <w:rsid w:val="00BE3B3F"/>
    <w:rsid w:val="00C03815"/>
    <w:rsid w:val="00C109B0"/>
    <w:rsid w:val="00C31063"/>
    <w:rsid w:val="00C4279B"/>
    <w:rsid w:val="00D0701E"/>
    <w:rsid w:val="00D102B2"/>
    <w:rsid w:val="00D15FA6"/>
    <w:rsid w:val="00D24089"/>
    <w:rsid w:val="00D51BED"/>
    <w:rsid w:val="00D74508"/>
    <w:rsid w:val="00D866C3"/>
    <w:rsid w:val="00DA1BEF"/>
    <w:rsid w:val="00DB3F0F"/>
    <w:rsid w:val="00DB5713"/>
    <w:rsid w:val="00DD0962"/>
    <w:rsid w:val="00DE23F8"/>
    <w:rsid w:val="00DF4CF0"/>
    <w:rsid w:val="00E07408"/>
    <w:rsid w:val="00E24766"/>
    <w:rsid w:val="00E47C26"/>
    <w:rsid w:val="00E57926"/>
    <w:rsid w:val="00F307CE"/>
    <w:rsid w:val="00F36121"/>
    <w:rsid w:val="00F54DB8"/>
    <w:rsid w:val="00F73DB7"/>
    <w:rsid w:val="00FD0396"/>
    <w:rsid w:val="00FE70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01E"/>
    <w:pPr>
      <w:ind w:left="720"/>
      <w:contextualSpacing/>
    </w:pPr>
  </w:style>
  <w:style w:type="paragraph" w:styleId="EndnoteText">
    <w:name w:val="endnote text"/>
    <w:basedOn w:val="Normal"/>
    <w:link w:val="EndnoteTextChar"/>
    <w:uiPriority w:val="99"/>
    <w:semiHidden/>
    <w:unhideWhenUsed/>
    <w:rsid w:val="00DF4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4CF0"/>
    <w:rPr>
      <w:sz w:val="20"/>
      <w:szCs w:val="20"/>
    </w:rPr>
  </w:style>
  <w:style w:type="character" w:styleId="EndnoteReference">
    <w:name w:val="endnote reference"/>
    <w:basedOn w:val="DefaultParagraphFont"/>
    <w:uiPriority w:val="99"/>
    <w:semiHidden/>
    <w:unhideWhenUsed/>
    <w:rsid w:val="00DF4C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01E"/>
    <w:pPr>
      <w:ind w:left="720"/>
      <w:contextualSpacing/>
    </w:pPr>
  </w:style>
  <w:style w:type="paragraph" w:styleId="EndnoteText">
    <w:name w:val="endnote text"/>
    <w:basedOn w:val="Normal"/>
    <w:link w:val="EndnoteTextChar"/>
    <w:uiPriority w:val="99"/>
    <w:semiHidden/>
    <w:unhideWhenUsed/>
    <w:rsid w:val="00DF4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4CF0"/>
    <w:rPr>
      <w:sz w:val="20"/>
      <w:szCs w:val="20"/>
    </w:rPr>
  </w:style>
  <w:style w:type="character" w:styleId="EndnoteReference">
    <w:name w:val="endnote reference"/>
    <w:basedOn w:val="DefaultParagraphFont"/>
    <w:uiPriority w:val="99"/>
    <w:semiHidden/>
    <w:unhideWhenUsed/>
    <w:rsid w:val="00DF4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A0F9-7FB2-4BE0-A514-2C875485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114</cp:revision>
  <dcterms:created xsi:type="dcterms:W3CDTF">2013-06-21T15:26:00Z</dcterms:created>
  <dcterms:modified xsi:type="dcterms:W3CDTF">2013-06-25T01:44:00Z</dcterms:modified>
</cp:coreProperties>
</file>