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61E3" w14:textId="77777777" w:rsidR="00211E7C" w:rsidRPr="003C6DAE" w:rsidRDefault="00211E7C" w:rsidP="00612DB7">
      <w:pPr>
        <w:pStyle w:val="Title"/>
        <w:pBdr>
          <w:bottom w:val="single" w:sz="8" w:space="7" w:color="4F81BD"/>
        </w:pBdr>
        <w:rPr>
          <w:b/>
          <w:color w:val="auto"/>
          <w:kern w:val="36"/>
          <w:sz w:val="44"/>
          <w:szCs w:val="44"/>
        </w:rPr>
      </w:pPr>
      <w:r w:rsidRPr="003C6DAE">
        <w:rPr>
          <w:b/>
          <w:color w:val="auto"/>
          <w:kern w:val="36"/>
          <w:sz w:val="44"/>
          <w:szCs w:val="44"/>
        </w:rPr>
        <w:t>Canadian Medical Education Journal</w:t>
      </w:r>
    </w:p>
    <w:p w14:paraId="7E531A40" w14:textId="782E5148" w:rsidR="00065970" w:rsidRPr="003C6DAE" w:rsidRDefault="003952C8" w:rsidP="00065970">
      <w:pPr>
        <w:pStyle w:val="Subtitle"/>
        <w:spacing w:after="300" w:line="360" w:lineRule="auto"/>
        <w:rPr>
          <w:color w:val="auto"/>
        </w:rPr>
      </w:pPr>
      <w:sdt>
        <w:sdtPr>
          <w:rPr>
            <w:color w:val="auto"/>
          </w:rPr>
          <w:id w:val="6915174"/>
          <w:placeholder>
            <w:docPart w:val="C20B231160B64D89A36E29D538927570"/>
          </w:placeholder>
        </w:sdtPr>
        <w:sdtEndPr/>
        <w:sdtContent>
          <w:r w:rsidR="0001784F">
            <w:rPr>
              <w:color w:val="auto"/>
            </w:rPr>
            <w:t>Brief Reports</w:t>
          </w:r>
        </w:sdtContent>
      </w:sdt>
    </w:p>
    <w:p w14:paraId="050049E0" w14:textId="4E467747" w:rsidR="0043485B" w:rsidRPr="003C6DAE" w:rsidRDefault="0001784F" w:rsidP="0043485B">
      <w:pPr>
        <w:pStyle w:val="CMEJArticleTitle"/>
      </w:pPr>
      <w:r w:rsidRPr="0001784F">
        <w:t xml:space="preserve">Rapid, collaborative generation and review of COVID-19 pandemic-specific competencies for family medicine residency training </w:t>
      </w:r>
    </w:p>
    <w:p w14:paraId="23F12321" w14:textId="057489C1" w:rsidR="0001784F" w:rsidRPr="003C2575" w:rsidRDefault="00653B57" w:rsidP="0001784F">
      <w:pPr>
        <w:pStyle w:val="CMEJArticleTitle"/>
        <w:rPr>
          <w:sz w:val="28"/>
          <w:lang w:val="fr-FR"/>
        </w:rPr>
      </w:pPr>
      <w:r w:rsidRPr="003C2575">
        <w:rPr>
          <w:sz w:val="28"/>
          <w:lang w:val="fr-FR"/>
        </w:rPr>
        <w:t>Rapides établissement et examen effectués en collaboration des compétences requises dans les programmes de résidence en médecine familiale durant la pandémie de la COVID-19</w:t>
      </w:r>
      <w:r w:rsidR="0001784F" w:rsidRPr="003C2575">
        <w:rPr>
          <w:sz w:val="28"/>
          <w:lang w:val="fr-CA"/>
        </w:rPr>
        <w:t xml:space="preserve"> </w:t>
      </w:r>
    </w:p>
    <w:p w14:paraId="1BCBA8EA" w14:textId="49D301DD" w:rsidR="00BF45BA" w:rsidRPr="00BF45BA" w:rsidRDefault="0001784F" w:rsidP="0001784F">
      <w:pPr>
        <w:spacing w:before="120"/>
        <w:rPr>
          <w:rFonts w:asciiTheme="minorHAnsi" w:hAnsiTheme="minorHAnsi" w:cstheme="minorHAnsi"/>
          <w:i/>
          <w:sz w:val="24"/>
          <w:szCs w:val="20"/>
          <w:lang w:val="en-CA" w:eastAsia="en-CA"/>
        </w:rPr>
      </w:pPr>
      <w:r w:rsidRPr="0001784F">
        <w:rPr>
          <w:rFonts w:asciiTheme="minorHAnsi" w:hAnsiTheme="minorHAnsi" w:cstheme="minorHAnsi"/>
          <w:i/>
          <w:sz w:val="24"/>
          <w:szCs w:val="20"/>
          <w:lang w:val="en-CA" w:eastAsia="en-CA"/>
        </w:rPr>
        <w:t>Eric Wooltorton,</w:t>
      </w:r>
      <w:r>
        <w:rPr>
          <w:rFonts w:asciiTheme="minorHAnsi" w:hAnsiTheme="minorHAnsi" w:cstheme="minorHAnsi"/>
          <w:i/>
          <w:sz w:val="24"/>
          <w:szCs w:val="20"/>
          <w:vertAlign w:val="superscript"/>
          <w:lang w:val="en-CA" w:eastAsia="en-CA"/>
        </w:rPr>
        <w:t xml:space="preserve">1 </w:t>
      </w:r>
      <w:r w:rsidRPr="0001784F">
        <w:rPr>
          <w:rFonts w:asciiTheme="minorHAnsi" w:hAnsiTheme="minorHAnsi" w:cstheme="minorHAnsi"/>
          <w:i/>
          <w:sz w:val="24"/>
          <w:szCs w:val="20"/>
          <w:lang w:val="en-CA" w:eastAsia="en-CA"/>
        </w:rPr>
        <w:t>Edward Seale,</w:t>
      </w:r>
      <w:r>
        <w:rPr>
          <w:rFonts w:asciiTheme="minorHAnsi" w:hAnsiTheme="minorHAnsi" w:cstheme="minorHAnsi"/>
          <w:i/>
          <w:sz w:val="24"/>
          <w:szCs w:val="20"/>
          <w:vertAlign w:val="superscript"/>
          <w:lang w:val="en-CA" w:eastAsia="en-CA"/>
        </w:rPr>
        <w:t xml:space="preserve">1 </w:t>
      </w:r>
      <w:r w:rsidRPr="0001784F">
        <w:rPr>
          <w:rFonts w:asciiTheme="minorHAnsi" w:hAnsiTheme="minorHAnsi" w:cstheme="minorHAnsi"/>
          <w:i/>
          <w:sz w:val="24"/>
          <w:szCs w:val="20"/>
          <w:lang w:val="en-CA" w:eastAsia="en-CA"/>
        </w:rPr>
        <w:t>Denice Lewis,</w:t>
      </w:r>
      <w:r>
        <w:rPr>
          <w:rFonts w:asciiTheme="minorHAnsi" w:hAnsiTheme="minorHAnsi" w:cstheme="minorHAnsi"/>
          <w:i/>
          <w:sz w:val="24"/>
          <w:szCs w:val="20"/>
          <w:vertAlign w:val="superscript"/>
          <w:lang w:val="en-CA" w:eastAsia="en-CA"/>
        </w:rPr>
        <w:t xml:space="preserve">1 </w:t>
      </w:r>
      <w:r w:rsidRPr="0001784F">
        <w:rPr>
          <w:rFonts w:asciiTheme="minorHAnsi" w:hAnsiTheme="minorHAnsi" w:cstheme="minorHAnsi"/>
          <w:i/>
          <w:sz w:val="24"/>
          <w:szCs w:val="20"/>
          <w:lang w:val="en-CA" w:eastAsia="en-CA"/>
        </w:rPr>
        <w:t>Kendall Noel,</w:t>
      </w:r>
      <w:r>
        <w:rPr>
          <w:rFonts w:asciiTheme="minorHAnsi" w:hAnsiTheme="minorHAnsi" w:cstheme="minorHAnsi"/>
          <w:i/>
          <w:sz w:val="24"/>
          <w:szCs w:val="20"/>
          <w:vertAlign w:val="superscript"/>
          <w:lang w:val="en-CA" w:eastAsia="en-CA"/>
        </w:rPr>
        <w:t xml:space="preserve">1 </w:t>
      </w:r>
      <w:r w:rsidRPr="0001784F">
        <w:rPr>
          <w:rFonts w:asciiTheme="minorHAnsi" w:hAnsiTheme="minorHAnsi" w:cstheme="minorHAnsi"/>
          <w:i/>
          <w:sz w:val="24"/>
          <w:szCs w:val="20"/>
          <w:lang w:val="en-CA" w:eastAsia="en-CA"/>
        </w:rPr>
        <w:t>Clare Liddy,</w:t>
      </w:r>
      <w:r>
        <w:rPr>
          <w:rFonts w:asciiTheme="minorHAnsi" w:hAnsiTheme="minorHAnsi" w:cstheme="minorHAnsi"/>
          <w:i/>
          <w:sz w:val="24"/>
          <w:szCs w:val="20"/>
          <w:vertAlign w:val="superscript"/>
          <w:lang w:val="en-CA" w:eastAsia="en-CA"/>
        </w:rPr>
        <w:t xml:space="preserve">1 </w:t>
      </w:r>
      <w:r w:rsidRPr="0001784F">
        <w:rPr>
          <w:rFonts w:asciiTheme="minorHAnsi" w:hAnsiTheme="minorHAnsi" w:cstheme="minorHAnsi"/>
          <w:i/>
          <w:sz w:val="24"/>
          <w:szCs w:val="20"/>
          <w:lang w:val="en-CA" w:eastAsia="en-CA"/>
        </w:rPr>
        <w:t>Gary Viner,</w:t>
      </w:r>
      <w:r>
        <w:rPr>
          <w:rFonts w:asciiTheme="minorHAnsi" w:hAnsiTheme="minorHAnsi" w:cstheme="minorHAnsi"/>
          <w:i/>
          <w:sz w:val="24"/>
          <w:szCs w:val="20"/>
          <w:vertAlign w:val="superscript"/>
          <w:lang w:val="en-CA" w:eastAsia="en-CA"/>
        </w:rPr>
        <w:t xml:space="preserve">1 </w:t>
      </w:r>
      <w:r w:rsidRPr="0001784F">
        <w:rPr>
          <w:rFonts w:asciiTheme="minorHAnsi" w:hAnsiTheme="minorHAnsi" w:cstheme="minorHAnsi"/>
          <w:i/>
          <w:sz w:val="24"/>
          <w:szCs w:val="20"/>
          <w:lang w:val="en-CA" w:eastAsia="en-CA"/>
        </w:rPr>
        <w:t>Lina Shoppoff,</w:t>
      </w:r>
      <w:r>
        <w:rPr>
          <w:rFonts w:asciiTheme="minorHAnsi" w:hAnsiTheme="minorHAnsi" w:cstheme="minorHAnsi"/>
          <w:i/>
          <w:sz w:val="24"/>
          <w:szCs w:val="20"/>
          <w:vertAlign w:val="superscript"/>
          <w:lang w:val="en-CA" w:eastAsia="en-CA"/>
        </w:rPr>
        <w:t xml:space="preserve">1 </w:t>
      </w:r>
      <w:r w:rsidRPr="0001784F">
        <w:rPr>
          <w:rFonts w:asciiTheme="minorHAnsi" w:hAnsiTheme="minorHAnsi" w:cstheme="minorHAnsi"/>
          <w:i/>
          <w:sz w:val="24"/>
          <w:szCs w:val="20"/>
          <w:lang w:val="en-CA" w:eastAsia="en-CA"/>
        </w:rPr>
        <w:t>Douglas Archibald</w:t>
      </w:r>
      <w:r>
        <w:rPr>
          <w:rFonts w:asciiTheme="minorHAnsi" w:hAnsiTheme="minorHAnsi" w:cstheme="minorHAnsi"/>
          <w:i/>
          <w:sz w:val="24"/>
          <w:szCs w:val="20"/>
          <w:vertAlign w:val="superscript"/>
          <w:lang w:val="en-CA" w:eastAsia="en-CA"/>
        </w:rPr>
        <w:t>1</w:t>
      </w:r>
      <w:r w:rsidRPr="0001784F">
        <w:rPr>
          <w:rFonts w:asciiTheme="minorHAnsi" w:hAnsiTheme="minorHAnsi" w:cstheme="minorHAnsi"/>
          <w:i/>
          <w:sz w:val="24"/>
          <w:szCs w:val="20"/>
          <w:lang w:val="en-CA" w:eastAsia="en-CA"/>
        </w:rPr>
        <w:t xml:space="preserve"> </w:t>
      </w:r>
    </w:p>
    <w:p w14:paraId="5CA5774B" w14:textId="66B0553F" w:rsidR="001E668E" w:rsidRPr="0001784F" w:rsidRDefault="0043485B" w:rsidP="00D35AED">
      <w:pPr>
        <w:spacing w:after="120"/>
        <w:rPr>
          <w:rFonts w:asciiTheme="minorHAnsi" w:hAnsiTheme="minorHAnsi" w:cstheme="minorHAnsi"/>
          <w:sz w:val="20"/>
          <w:szCs w:val="20"/>
          <w:lang w:val="en-CA" w:eastAsia="zh-CN"/>
        </w:rPr>
      </w:pPr>
      <w:r w:rsidRPr="003C6DAE">
        <w:rPr>
          <w:rFonts w:asciiTheme="minorHAnsi" w:hAnsiTheme="minorHAnsi" w:cstheme="minorHAnsi"/>
          <w:sz w:val="20"/>
          <w:szCs w:val="20"/>
          <w:vertAlign w:val="superscript"/>
          <w:lang w:val="en-CA" w:eastAsia="zh-CN"/>
        </w:rPr>
        <w:t>1</w:t>
      </w:r>
      <w:r w:rsidR="0001784F" w:rsidRPr="0001784F">
        <w:rPr>
          <w:rFonts w:asciiTheme="minorHAnsi" w:hAnsiTheme="minorHAnsi" w:cstheme="minorHAnsi"/>
          <w:sz w:val="20"/>
          <w:szCs w:val="20"/>
          <w:lang w:val="en-CA" w:eastAsia="zh-CN"/>
        </w:rPr>
        <w:t>Department of Family Medicine</w:t>
      </w:r>
      <w:r w:rsidR="0001784F">
        <w:rPr>
          <w:rFonts w:asciiTheme="minorHAnsi" w:hAnsiTheme="minorHAnsi" w:cstheme="minorHAnsi"/>
          <w:sz w:val="20"/>
          <w:szCs w:val="20"/>
          <w:lang w:val="en-CA" w:eastAsia="zh-CN"/>
        </w:rPr>
        <w:t xml:space="preserve">, </w:t>
      </w:r>
      <w:r w:rsidR="0001784F" w:rsidRPr="0001784F">
        <w:rPr>
          <w:rFonts w:asciiTheme="minorHAnsi" w:hAnsiTheme="minorHAnsi" w:cstheme="minorHAnsi"/>
          <w:sz w:val="20"/>
          <w:szCs w:val="20"/>
          <w:lang w:val="en-CA" w:eastAsia="zh-CN"/>
        </w:rPr>
        <w:t xml:space="preserve">University of Ottawa, </w:t>
      </w:r>
      <w:r w:rsidR="0001784F">
        <w:rPr>
          <w:rFonts w:asciiTheme="minorHAnsi" w:hAnsiTheme="minorHAnsi" w:cstheme="minorHAnsi"/>
          <w:sz w:val="20"/>
          <w:szCs w:val="20"/>
          <w:lang w:val="en-CA" w:eastAsia="zh-CN"/>
        </w:rPr>
        <w:t>Ontario</w:t>
      </w:r>
      <w:r w:rsidR="0001784F" w:rsidRPr="0001784F">
        <w:rPr>
          <w:rFonts w:asciiTheme="minorHAnsi" w:hAnsiTheme="minorHAnsi" w:cstheme="minorHAnsi"/>
          <w:sz w:val="20"/>
          <w:szCs w:val="20"/>
          <w:lang w:val="en-CA" w:eastAsia="zh-CN"/>
        </w:rPr>
        <w:t>, Canada</w:t>
      </w:r>
    </w:p>
    <w:p w14:paraId="76E41111" w14:textId="3D9CC58A" w:rsidR="0043485B" w:rsidRPr="003C6DAE" w:rsidRDefault="00147836" w:rsidP="0043485B">
      <w:pPr>
        <w:spacing w:after="120"/>
        <w:rPr>
          <w:rFonts w:asciiTheme="minorHAnsi" w:hAnsiTheme="minorHAnsi" w:cstheme="minorHAnsi"/>
          <w:sz w:val="20"/>
          <w:szCs w:val="20"/>
        </w:rPr>
      </w:pPr>
      <w:r w:rsidRPr="003C6DAE">
        <w:rPr>
          <w:rFonts w:asciiTheme="minorHAnsi" w:hAnsiTheme="minorHAnsi" w:cstheme="minorHAnsi"/>
          <w:sz w:val="20"/>
          <w:szCs w:val="20"/>
        </w:rPr>
        <w:t>Published</w:t>
      </w:r>
      <w:r w:rsidR="00147E2F" w:rsidRPr="003C6DAE">
        <w:rPr>
          <w:rFonts w:asciiTheme="minorHAnsi" w:hAnsiTheme="minorHAnsi" w:cstheme="minorHAnsi"/>
          <w:sz w:val="20"/>
          <w:szCs w:val="20"/>
        </w:rPr>
        <w:t xml:space="preserve"> ahead of issue</w:t>
      </w:r>
      <w:r w:rsidRPr="003C6DAE">
        <w:rPr>
          <w:rFonts w:asciiTheme="minorHAnsi" w:hAnsiTheme="minorHAnsi" w:cstheme="minorHAnsi"/>
          <w:sz w:val="20"/>
          <w:szCs w:val="20"/>
        </w:rPr>
        <w:t xml:space="preserve">: </w:t>
      </w:r>
      <w:r w:rsidR="002E0394">
        <w:rPr>
          <w:rFonts w:asciiTheme="minorHAnsi" w:hAnsiTheme="minorHAnsi" w:cstheme="minorHAnsi"/>
          <w:sz w:val="20"/>
          <w:szCs w:val="20"/>
        </w:rPr>
        <w:t>July 29, 2020</w:t>
      </w:r>
      <w:r w:rsidR="007B7811">
        <w:rPr>
          <w:rFonts w:asciiTheme="minorHAnsi" w:hAnsiTheme="minorHAnsi" w:cstheme="minorHAnsi"/>
          <w:sz w:val="20"/>
          <w:szCs w:val="20"/>
        </w:rPr>
        <w:t xml:space="preserve">; published September </w:t>
      </w:r>
      <w:r w:rsidR="00801A6A">
        <w:rPr>
          <w:rFonts w:asciiTheme="minorHAnsi" w:hAnsiTheme="minorHAnsi" w:cstheme="minorHAnsi"/>
          <w:sz w:val="20"/>
          <w:szCs w:val="20"/>
        </w:rPr>
        <w:t>23</w:t>
      </w:r>
      <w:bookmarkStart w:id="0" w:name="_GoBack"/>
      <w:bookmarkEnd w:id="0"/>
      <w:r w:rsidR="007B7811">
        <w:rPr>
          <w:rFonts w:asciiTheme="minorHAnsi" w:hAnsiTheme="minorHAnsi" w:cstheme="minorHAnsi"/>
          <w:sz w:val="20"/>
          <w:szCs w:val="20"/>
        </w:rPr>
        <w:t>, 2020</w:t>
      </w:r>
    </w:p>
    <w:p w14:paraId="266FA407" w14:textId="5EA9FA11" w:rsidR="0043485B" w:rsidRPr="003C6DAE" w:rsidRDefault="00812C86" w:rsidP="0043485B">
      <w:pPr>
        <w:spacing w:after="120"/>
        <w:outlineLvl w:val="0"/>
        <w:rPr>
          <w:rFonts w:asciiTheme="minorHAnsi" w:hAnsiTheme="minorHAnsi" w:cstheme="minorHAnsi"/>
          <w:sz w:val="20"/>
          <w:szCs w:val="20"/>
          <w:lang w:val="en-CA"/>
        </w:rPr>
      </w:pPr>
      <w:r w:rsidRPr="003C6DAE">
        <w:rPr>
          <w:rFonts w:asciiTheme="minorHAnsi" w:hAnsiTheme="minorHAnsi" w:cstheme="minorHAnsi"/>
          <w:sz w:val="20"/>
          <w:szCs w:val="20"/>
          <w:lang w:val="en-CA"/>
        </w:rPr>
        <w:t xml:space="preserve">CMEJ </w:t>
      </w:r>
      <w:r w:rsidR="004D3667" w:rsidRPr="003C6DAE">
        <w:rPr>
          <w:rFonts w:asciiTheme="minorHAnsi" w:hAnsiTheme="minorHAnsi" w:cstheme="minorHAnsi"/>
          <w:sz w:val="20"/>
          <w:szCs w:val="20"/>
          <w:lang w:val="en-CA"/>
        </w:rPr>
        <w:t>20</w:t>
      </w:r>
      <w:r w:rsidR="003C6DAE" w:rsidRPr="003C6DAE">
        <w:rPr>
          <w:rFonts w:asciiTheme="minorHAnsi" w:hAnsiTheme="minorHAnsi" w:cstheme="minorHAnsi"/>
          <w:sz w:val="20"/>
          <w:szCs w:val="20"/>
          <w:lang w:val="en-CA"/>
        </w:rPr>
        <w:t>20</w:t>
      </w:r>
      <w:r w:rsidR="00801A6A">
        <w:rPr>
          <w:rFonts w:asciiTheme="minorHAnsi" w:hAnsiTheme="minorHAnsi" w:cstheme="minorHAnsi"/>
          <w:sz w:val="20"/>
          <w:szCs w:val="20"/>
          <w:lang w:val="en-CA"/>
        </w:rPr>
        <w:t>;</w:t>
      </w:r>
      <w:r w:rsidR="007B7811">
        <w:rPr>
          <w:rFonts w:asciiTheme="minorHAnsi" w:hAnsiTheme="minorHAnsi" w:cstheme="minorHAnsi"/>
          <w:sz w:val="20"/>
          <w:szCs w:val="20"/>
          <w:lang w:val="en-CA"/>
        </w:rPr>
        <w:t xml:space="preserve"> 11(5), e50-e55;</w:t>
      </w:r>
      <w:r w:rsidR="002E1570" w:rsidRPr="003C6DAE">
        <w:rPr>
          <w:rFonts w:asciiTheme="minorHAnsi" w:hAnsiTheme="minorHAnsi" w:cstheme="minorHAnsi"/>
          <w:sz w:val="20"/>
          <w:szCs w:val="20"/>
          <w:lang w:val="en-CA"/>
        </w:rPr>
        <w:t xml:space="preserve"> </w:t>
      </w:r>
      <w:r w:rsidR="0043485B" w:rsidRPr="003C6DAE">
        <w:rPr>
          <w:rFonts w:asciiTheme="minorHAnsi" w:hAnsiTheme="minorHAnsi" w:cstheme="minorHAnsi"/>
          <w:sz w:val="20"/>
          <w:szCs w:val="20"/>
          <w:lang w:val="en-CA"/>
        </w:rPr>
        <w:t xml:space="preserve">Available at </w:t>
      </w:r>
      <w:hyperlink r:id="rId11" w:history="1">
        <w:r w:rsidR="0043485B" w:rsidRPr="003C6DAE">
          <w:rPr>
            <w:rFonts w:asciiTheme="minorHAnsi" w:hAnsiTheme="minorHAnsi" w:cstheme="minorHAnsi"/>
            <w:color w:val="0000FF"/>
            <w:sz w:val="20"/>
            <w:szCs w:val="20"/>
            <w:u w:val="single"/>
            <w:lang w:val="en-CA"/>
          </w:rPr>
          <w:t>http://www.cmej.ca</w:t>
        </w:r>
      </w:hyperlink>
    </w:p>
    <w:p w14:paraId="23F454EB" w14:textId="3E4C68CF" w:rsidR="0043485B" w:rsidRPr="003C6DAE" w:rsidRDefault="0046676F" w:rsidP="0043485B">
      <w:pPr>
        <w:spacing w:after="120"/>
        <w:rPr>
          <w:rFonts w:asciiTheme="minorHAnsi" w:hAnsiTheme="minorHAnsi" w:cstheme="minorHAnsi"/>
          <w:sz w:val="18"/>
          <w:szCs w:val="20"/>
          <w:lang w:val="en-CA"/>
        </w:rPr>
      </w:pPr>
      <w:r w:rsidRPr="003C6DAE">
        <w:rPr>
          <w:rFonts w:asciiTheme="minorHAnsi" w:hAnsiTheme="minorHAnsi" w:cstheme="minorHAnsi"/>
          <w:sz w:val="18"/>
          <w:szCs w:val="20"/>
          <w:lang w:val="en-CA"/>
        </w:rPr>
        <w:t>© 20</w:t>
      </w:r>
      <w:r w:rsidR="003C6DAE" w:rsidRPr="003C6DAE">
        <w:rPr>
          <w:rFonts w:asciiTheme="minorHAnsi" w:hAnsiTheme="minorHAnsi" w:cstheme="minorHAnsi"/>
          <w:sz w:val="18"/>
          <w:szCs w:val="20"/>
          <w:lang w:val="en-CA"/>
        </w:rPr>
        <w:t>20</w:t>
      </w:r>
      <w:r w:rsidR="00D35AED" w:rsidRPr="003C6DAE">
        <w:rPr>
          <w:rFonts w:asciiTheme="minorHAnsi" w:hAnsiTheme="minorHAnsi" w:cstheme="minorHAnsi"/>
          <w:sz w:val="18"/>
          <w:szCs w:val="20"/>
          <w:lang w:val="en-CA"/>
        </w:rPr>
        <w:t xml:space="preserve"> </w:t>
      </w:r>
      <w:r w:rsidR="0001784F">
        <w:rPr>
          <w:rFonts w:asciiTheme="minorHAnsi" w:hAnsiTheme="minorHAnsi" w:cstheme="minorHAnsi"/>
          <w:sz w:val="18"/>
          <w:szCs w:val="20"/>
          <w:lang w:val="en-CA"/>
        </w:rPr>
        <w:t xml:space="preserve">Wooltorton, Seale, Lewis, Noel, Liddy, Viner, </w:t>
      </w:r>
      <w:proofErr w:type="spellStart"/>
      <w:r w:rsidR="0001784F">
        <w:rPr>
          <w:rFonts w:asciiTheme="minorHAnsi" w:hAnsiTheme="minorHAnsi" w:cstheme="minorHAnsi"/>
          <w:sz w:val="18"/>
          <w:szCs w:val="20"/>
          <w:lang w:val="en-CA"/>
        </w:rPr>
        <w:t>Shoppoff</w:t>
      </w:r>
      <w:proofErr w:type="spellEnd"/>
      <w:r w:rsidR="0001784F">
        <w:rPr>
          <w:rFonts w:asciiTheme="minorHAnsi" w:hAnsiTheme="minorHAnsi" w:cstheme="minorHAnsi"/>
          <w:sz w:val="18"/>
          <w:szCs w:val="20"/>
          <w:lang w:val="en-CA"/>
        </w:rPr>
        <w:t>, Archibald</w:t>
      </w:r>
      <w:r w:rsidR="0043485B" w:rsidRPr="003C6DAE">
        <w:rPr>
          <w:rFonts w:asciiTheme="minorHAnsi" w:hAnsiTheme="minorHAnsi" w:cstheme="minorHAnsi"/>
          <w:sz w:val="18"/>
          <w:szCs w:val="20"/>
          <w:lang w:val="en-CA"/>
        </w:rPr>
        <w:t>; licensee Synergies Partners</w:t>
      </w:r>
    </w:p>
    <w:p w14:paraId="3854EFF3" w14:textId="33020A18" w:rsidR="00F777EE" w:rsidRPr="003C6DAE" w:rsidRDefault="00F777EE" w:rsidP="00F777EE">
      <w:pPr>
        <w:pBdr>
          <w:bottom w:val="single" w:sz="4" w:space="1" w:color="auto"/>
        </w:pBdr>
        <w:spacing w:after="120"/>
        <w:rPr>
          <w:rFonts w:ascii="Cambria" w:hAnsi="Cambria"/>
          <w:sz w:val="18"/>
          <w:szCs w:val="18"/>
        </w:rPr>
        <w:sectPr w:rsidR="00F777EE" w:rsidRPr="003C6DAE" w:rsidSect="007B7811">
          <w:headerReference w:type="default" r:id="rId12"/>
          <w:footerReference w:type="even" r:id="rId13"/>
          <w:footerReference w:type="default" r:id="rId14"/>
          <w:pgSz w:w="12240" w:h="15840"/>
          <w:pgMar w:top="1440" w:right="1440" w:bottom="720" w:left="1440" w:header="720" w:footer="720" w:gutter="0"/>
          <w:pgNumType w:start="50"/>
          <w:cols w:space="720"/>
          <w:docGrid w:linePitch="360"/>
        </w:sectPr>
      </w:pPr>
      <w:r w:rsidRPr="003C6DAE">
        <w:rPr>
          <w:rFonts w:asciiTheme="minorHAnsi" w:hAnsiTheme="minorHAnsi" w:cstheme="minorHAnsi"/>
          <w:sz w:val="18"/>
          <w:szCs w:val="18"/>
        </w:rPr>
        <w:t>https://doi.org/</w:t>
      </w:r>
      <w:r w:rsidRPr="003C6DAE">
        <w:rPr>
          <w:rFonts w:asciiTheme="minorHAnsi" w:hAnsiTheme="minorHAnsi" w:cstheme="minorHAnsi"/>
          <w:sz w:val="18"/>
          <w:szCs w:val="18"/>
          <w:lang w:val="en-CA"/>
        </w:rPr>
        <w:t>10.36834/cmej.</w:t>
      </w:r>
      <w:r w:rsidR="0001784F">
        <w:rPr>
          <w:rFonts w:asciiTheme="minorHAnsi" w:hAnsiTheme="minorHAnsi" w:cstheme="minorHAnsi"/>
          <w:sz w:val="18"/>
          <w:szCs w:val="18"/>
          <w:lang w:val="en-CA"/>
        </w:rPr>
        <w:t>70254</w:t>
      </w:r>
      <w:r w:rsidRPr="003C6DAE">
        <w:rPr>
          <w:rFonts w:asciiTheme="minorHAnsi" w:hAnsiTheme="minorHAnsi" w:cstheme="minorHAnsi"/>
          <w:sz w:val="18"/>
          <w:szCs w:val="18"/>
        </w:rPr>
        <w:br/>
      </w:r>
      <w:r w:rsidR="0043485B" w:rsidRPr="003C6DAE">
        <w:rPr>
          <w:rFonts w:ascii="Cambria" w:hAnsi="Cambria"/>
          <w:sz w:val="18"/>
          <w:szCs w:val="18"/>
        </w:rPr>
        <w:t>This is an Open Journal Systems article distributed under the terms of the Creative Commons Attribution License (</w:t>
      </w:r>
      <w:hyperlink r:id="rId15" w:history="1">
        <w:r w:rsidR="0043485B" w:rsidRPr="003C6DAE">
          <w:rPr>
            <w:rFonts w:ascii="Cambria" w:hAnsi="Cambria"/>
            <w:color w:val="0000FF"/>
            <w:sz w:val="18"/>
            <w:szCs w:val="18"/>
            <w:u w:val="single"/>
          </w:rPr>
          <w:t>http://creativecommons.org/licenses/by/2.0</w:t>
        </w:r>
      </w:hyperlink>
      <w:r w:rsidR="0043485B" w:rsidRPr="003C6DAE">
        <w:rPr>
          <w:rFonts w:ascii="Cambria" w:hAnsi="Cambria"/>
          <w:sz w:val="18"/>
          <w:szCs w:val="18"/>
        </w:rPr>
        <w:t>) which permits unrestricted use, distribution, and reproduction in any medium, provided the original work is properly cited</w:t>
      </w:r>
    </w:p>
    <w:p w14:paraId="474B51A5" w14:textId="77777777" w:rsidR="0043485B" w:rsidRPr="003C6DAE" w:rsidRDefault="0043485B" w:rsidP="0043485B">
      <w:pPr>
        <w:pStyle w:val="CMEJAbstractheading"/>
      </w:pPr>
      <w:r w:rsidRPr="003C6DAE">
        <w:t>Abstract</w:t>
      </w:r>
    </w:p>
    <w:p w14:paraId="3E5E7C89" w14:textId="46342A4A" w:rsidR="00CD3D8F" w:rsidRPr="00CD3D8F" w:rsidRDefault="0043485B" w:rsidP="00CD3D8F">
      <w:pPr>
        <w:pStyle w:val="CMEJBodytext"/>
        <w:rPr>
          <w:bCs/>
        </w:rPr>
      </w:pPr>
      <w:r w:rsidRPr="003C6DAE">
        <w:rPr>
          <w:b/>
        </w:rPr>
        <w:t>Background</w:t>
      </w:r>
      <w:r w:rsidRPr="003C6DAE">
        <w:t xml:space="preserve">: </w:t>
      </w:r>
      <w:r w:rsidR="00CD3D8F" w:rsidRPr="00CD3D8F">
        <w:rPr>
          <w:bCs/>
        </w:rPr>
        <w:t>In March 2020</w:t>
      </w:r>
      <w:r w:rsidR="007C5AB7">
        <w:rPr>
          <w:bCs/>
        </w:rPr>
        <w:t>,</w:t>
      </w:r>
      <w:r w:rsidR="00CD3D8F" w:rsidRPr="00CD3D8F">
        <w:rPr>
          <w:bCs/>
        </w:rPr>
        <w:t xml:space="preserve"> the COVID-19 pandemic disrupted competency-based medical education in Family Medicine programs across Canada. Faculty and residents identified a need for clear, relevant, and specific competencies to frame teaching, learning, supervision and feedback during the pandemic.</w:t>
      </w:r>
    </w:p>
    <w:p w14:paraId="49DC5F39" w14:textId="77777777" w:rsidR="00CD3D8F" w:rsidRPr="00CD3D8F" w:rsidRDefault="00CD3D8F" w:rsidP="00CD3D8F">
      <w:pPr>
        <w:pStyle w:val="CMEJBodytext"/>
        <w:rPr>
          <w:bCs/>
        </w:rPr>
      </w:pPr>
      <w:r w:rsidRPr="00CD3D8F">
        <w:rPr>
          <w:b/>
          <w:bCs/>
        </w:rPr>
        <w:t>Methods:</w:t>
      </w:r>
      <w:r w:rsidRPr="00CD3D8F">
        <w:rPr>
          <w:bCs/>
        </w:rPr>
        <w:t xml:space="preserve"> A rapid, iterative, educational quality improvement process was launched. Phase 1 involved experienced educators defining gaps in our program’s existing competency-database, reviewing emerging public health and regulatory guidelines, and drafting competencies. Phase 2 involved translation, member-checking, and anonymous feedback and editing of draft competencies by residents and other educational leaders. Phase 3 involved wider dissemination, collaborative editing and feedback from residents and faculty throughout the department. </w:t>
      </w:r>
    </w:p>
    <w:p w14:paraId="263DE42D" w14:textId="5A472682" w:rsidR="00CD3D8F" w:rsidRPr="00CD3D8F" w:rsidRDefault="00CD3D8F" w:rsidP="00CD3D8F">
      <w:pPr>
        <w:pStyle w:val="CMEJBodytext"/>
        <w:rPr>
          <w:bCs/>
        </w:rPr>
      </w:pPr>
      <w:r w:rsidRPr="00CD3D8F">
        <w:rPr>
          <w:b/>
          <w:bCs/>
        </w:rPr>
        <w:t>Results:</w:t>
      </w:r>
      <w:r w:rsidRPr="00CD3D8F">
        <w:rPr>
          <w:bCs/>
        </w:rPr>
        <w:t xml:space="preserve"> A total of 44 physician</w:t>
      </w:r>
      <w:r w:rsidR="007C5AB7">
        <w:rPr>
          <w:bCs/>
        </w:rPr>
        <w:t>s</w:t>
      </w:r>
      <w:r w:rsidRPr="00CD3D8F">
        <w:rPr>
          <w:bCs/>
        </w:rPr>
        <w:t xml:space="preserve"> including residents and faculty from multiple contexts provided detailed feedback, review, and editing of an ultimate list of 33 competencies organized by CanMEDS-FM roles. Broad agreement was obtained that </w:t>
      </w:r>
      <w:r w:rsidRPr="00CD3D8F">
        <w:t>the competencies form reasonable learning outcomes during the COVID-19 pandemic.</w:t>
      </w:r>
    </w:p>
    <w:p w14:paraId="2F675D5A" w14:textId="77777777" w:rsidR="00CD3D8F" w:rsidRPr="00CD3D8F" w:rsidRDefault="00CD3D8F" w:rsidP="00CD3D8F">
      <w:pPr>
        <w:pStyle w:val="CMEJBodytext"/>
        <w:rPr>
          <w:bCs/>
        </w:rPr>
      </w:pPr>
      <w:r w:rsidRPr="00CD3D8F">
        <w:rPr>
          <w:b/>
          <w:bCs/>
        </w:rPr>
        <w:t>Conclusions:</w:t>
      </w:r>
      <w:r w:rsidRPr="00CD3D8F">
        <w:rPr>
          <w:bCs/>
        </w:rPr>
        <w:t xml:space="preserve"> These competencies represent learning objectives reflecting the initial educational mindsets of a wide range of teachers and learners experiencing a global pandemic. The project illustrates a novel collaboration across educational portfolios as a rapid educational response to a public health crisis. </w:t>
      </w:r>
    </w:p>
    <w:p w14:paraId="297B8A3C" w14:textId="77777777" w:rsidR="00450386" w:rsidRPr="003C6DAE" w:rsidRDefault="00450386" w:rsidP="001E668E">
      <w:pPr>
        <w:pStyle w:val="CMEJBodytext"/>
        <w:sectPr w:rsidR="00450386" w:rsidRPr="003C6DAE" w:rsidSect="00F777EE">
          <w:type w:val="continuous"/>
          <w:pgSz w:w="12240" w:h="15840"/>
          <w:pgMar w:top="1440" w:right="1440" w:bottom="720" w:left="1440" w:header="720" w:footer="720" w:gutter="0"/>
          <w:cols w:space="720"/>
          <w:docGrid w:linePitch="360"/>
        </w:sectPr>
      </w:pPr>
    </w:p>
    <w:p w14:paraId="2A1153A1" w14:textId="76CC7A64" w:rsidR="00F777EE" w:rsidRPr="008C479D" w:rsidRDefault="00F777EE" w:rsidP="00F777EE">
      <w:pPr>
        <w:pStyle w:val="CMEJAbstractheading"/>
        <w:rPr>
          <w:lang w:val="fr-CA"/>
        </w:rPr>
      </w:pPr>
      <w:r w:rsidRPr="008C479D">
        <w:rPr>
          <w:lang w:val="fr-CA"/>
        </w:rPr>
        <w:lastRenderedPageBreak/>
        <w:t>Résumé</w:t>
      </w:r>
    </w:p>
    <w:p w14:paraId="34036790" w14:textId="2F0B9A2D" w:rsidR="00653B57" w:rsidRPr="00653B57" w:rsidRDefault="00653B57" w:rsidP="00653B57">
      <w:pPr>
        <w:pStyle w:val="CMEJIntroduction"/>
        <w:rPr>
          <w:rFonts w:asciiTheme="minorHAnsi" w:hAnsiTheme="minorHAnsi"/>
          <w:b w:val="0"/>
          <w:bCs/>
          <w:sz w:val="20"/>
          <w:lang w:val="fr-FR"/>
        </w:rPr>
      </w:pPr>
      <w:r w:rsidRPr="00653B57">
        <w:rPr>
          <w:rFonts w:asciiTheme="minorHAnsi" w:hAnsiTheme="minorHAnsi"/>
          <w:bCs/>
          <w:sz w:val="20"/>
          <w:lang w:val="fr-FR"/>
        </w:rPr>
        <w:t>Contexte :</w:t>
      </w:r>
      <w:r w:rsidRPr="00653B57">
        <w:rPr>
          <w:rFonts w:asciiTheme="minorHAnsi" w:hAnsiTheme="minorHAnsi"/>
          <w:b w:val="0"/>
          <w:bCs/>
          <w:sz w:val="20"/>
          <w:lang w:val="fr-FR"/>
        </w:rPr>
        <w:t xml:space="preserve"> En mars 2020, la pandémie de la COVID-19 a perturbé la formation médicale basée sur les compétences des programmes de médecine familiale partout au Canada. </w:t>
      </w:r>
      <w:r w:rsidR="00DE2B98">
        <w:rPr>
          <w:rFonts w:asciiTheme="minorHAnsi" w:hAnsiTheme="minorHAnsi"/>
          <w:b w:val="0"/>
          <w:bCs/>
          <w:sz w:val="20"/>
          <w:lang w:val="fr-FR"/>
        </w:rPr>
        <w:t>Le corps professoral</w:t>
      </w:r>
      <w:r w:rsidRPr="00653B57">
        <w:rPr>
          <w:rFonts w:asciiTheme="minorHAnsi" w:hAnsiTheme="minorHAnsi"/>
          <w:b w:val="0"/>
          <w:bCs/>
          <w:sz w:val="20"/>
          <w:lang w:val="fr-FR"/>
        </w:rPr>
        <w:t xml:space="preserve"> et les résidents ont </w:t>
      </w:r>
      <w:r w:rsidR="00DE2B98">
        <w:rPr>
          <w:rFonts w:asciiTheme="minorHAnsi" w:hAnsiTheme="minorHAnsi"/>
          <w:b w:val="0"/>
          <w:bCs/>
          <w:sz w:val="20"/>
          <w:lang w:val="fr-FR"/>
        </w:rPr>
        <w:t>identifié</w:t>
      </w:r>
      <w:r w:rsidR="00DE2B98" w:rsidRPr="00653B57">
        <w:rPr>
          <w:rFonts w:asciiTheme="minorHAnsi" w:hAnsiTheme="minorHAnsi"/>
          <w:b w:val="0"/>
          <w:bCs/>
          <w:sz w:val="20"/>
          <w:lang w:val="fr-FR"/>
        </w:rPr>
        <w:t xml:space="preserve"> </w:t>
      </w:r>
      <w:r w:rsidRPr="00653B57">
        <w:rPr>
          <w:rFonts w:asciiTheme="minorHAnsi" w:hAnsiTheme="minorHAnsi"/>
          <w:b w:val="0"/>
          <w:bCs/>
          <w:sz w:val="20"/>
          <w:lang w:val="fr-FR"/>
        </w:rPr>
        <w:t xml:space="preserve">la nécessité d’avoir des compétences claires, pertinentes et précises </w:t>
      </w:r>
      <w:r w:rsidR="00CD6E8A">
        <w:rPr>
          <w:rFonts w:asciiTheme="minorHAnsi" w:hAnsiTheme="minorHAnsi"/>
          <w:b w:val="0"/>
          <w:bCs/>
          <w:sz w:val="20"/>
          <w:lang w:val="fr-FR"/>
        </w:rPr>
        <w:t xml:space="preserve">pour encadrer </w:t>
      </w:r>
      <w:r w:rsidRPr="00653B57">
        <w:rPr>
          <w:rFonts w:asciiTheme="minorHAnsi" w:hAnsiTheme="minorHAnsi"/>
          <w:b w:val="0"/>
          <w:bCs/>
          <w:sz w:val="20"/>
          <w:lang w:val="fr-FR"/>
        </w:rPr>
        <w:t>l’enseignement, l’apprentissage, la supervision et la rétroaction durant la pandémie.</w:t>
      </w:r>
    </w:p>
    <w:p w14:paraId="01A8D928" w14:textId="6548FFD6" w:rsidR="00653B57" w:rsidRPr="00653B57" w:rsidRDefault="00653B57" w:rsidP="00653B57">
      <w:pPr>
        <w:pStyle w:val="CMEJIntroduction"/>
        <w:rPr>
          <w:rFonts w:asciiTheme="minorHAnsi" w:hAnsiTheme="minorHAnsi"/>
          <w:b w:val="0"/>
          <w:bCs/>
          <w:sz w:val="20"/>
          <w:lang w:val="fr-FR"/>
        </w:rPr>
      </w:pPr>
      <w:r w:rsidRPr="00653B57">
        <w:rPr>
          <w:rFonts w:asciiTheme="minorHAnsi" w:hAnsiTheme="minorHAnsi"/>
          <w:bCs/>
          <w:sz w:val="20"/>
          <w:lang w:val="fr-FR"/>
        </w:rPr>
        <w:t xml:space="preserve">Méthodes </w:t>
      </w:r>
      <w:r w:rsidRPr="00653B57">
        <w:rPr>
          <w:rFonts w:asciiTheme="minorHAnsi" w:hAnsiTheme="minorHAnsi"/>
          <w:b w:val="0"/>
          <w:bCs/>
          <w:sz w:val="20"/>
          <w:lang w:val="fr-FR"/>
        </w:rPr>
        <w:t xml:space="preserve">: Un processus rapide et itératif d’amélioration de la qualité de l’éducation a été lancé. Au cours de la Phase 1, des éducateurs </w:t>
      </w:r>
      <w:r w:rsidR="00DE2B98">
        <w:rPr>
          <w:rFonts w:asciiTheme="minorHAnsi" w:hAnsiTheme="minorHAnsi"/>
          <w:b w:val="0"/>
          <w:bCs/>
          <w:sz w:val="20"/>
          <w:lang w:val="fr-FR"/>
        </w:rPr>
        <w:t>d’expérience</w:t>
      </w:r>
      <w:r w:rsidR="00DE2B98" w:rsidRPr="00653B57">
        <w:rPr>
          <w:rFonts w:asciiTheme="minorHAnsi" w:hAnsiTheme="minorHAnsi"/>
          <w:b w:val="0"/>
          <w:bCs/>
          <w:sz w:val="20"/>
          <w:lang w:val="fr-FR"/>
        </w:rPr>
        <w:t xml:space="preserve"> </w:t>
      </w:r>
      <w:r w:rsidRPr="00653B57">
        <w:rPr>
          <w:rFonts w:asciiTheme="minorHAnsi" w:hAnsiTheme="minorHAnsi"/>
          <w:b w:val="0"/>
          <w:bCs/>
          <w:sz w:val="20"/>
          <w:lang w:val="fr-FR"/>
        </w:rPr>
        <w:t xml:space="preserve">ont </w:t>
      </w:r>
      <w:r w:rsidR="00DE2B98">
        <w:rPr>
          <w:rFonts w:asciiTheme="minorHAnsi" w:hAnsiTheme="minorHAnsi"/>
          <w:b w:val="0"/>
          <w:bCs/>
          <w:sz w:val="20"/>
          <w:lang w:val="fr-FR"/>
        </w:rPr>
        <w:t>identifié</w:t>
      </w:r>
      <w:r w:rsidR="00DE2B98" w:rsidRPr="00653B57">
        <w:rPr>
          <w:rFonts w:asciiTheme="minorHAnsi" w:hAnsiTheme="minorHAnsi"/>
          <w:b w:val="0"/>
          <w:bCs/>
          <w:sz w:val="20"/>
          <w:lang w:val="fr-FR"/>
        </w:rPr>
        <w:t xml:space="preserve"> </w:t>
      </w:r>
      <w:r w:rsidRPr="00653B57">
        <w:rPr>
          <w:rFonts w:asciiTheme="minorHAnsi" w:hAnsiTheme="minorHAnsi"/>
          <w:b w:val="0"/>
          <w:bCs/>
          <w:sz w:val="20"/>
          <w:lang w:val="fr-FR"/>
        </w:rPr>
        <w:t xml:space="preserve">les lacunes </w:t>
      </w:r>
      <w:r w:rsidR="00DE2B98">
        <w:rPr>
          <w:rFonts w:asciiTheme="minorHAnsi" w:hAnsiTheme="minorHAnsi"/>
          <w:b w:val="0"/>
          <w:bCs/>
          <w:sz w:val="20"/>
          <w:lang w:val="fr-FR"/>
        </w:rPr>
        <w:t>en lien avec</w:t>
      </w:r>
      <w:r w:rsidRPr="00653B57">
        <w:rPr>
          <w:rFonts w:asciiTheme="minorHAnsi" w:hAnsiTheme="minorHAnsi"/>
          <w:b w:val="0"/>
          <w:bCs/>
          <w:sz w:val="20"/>
          <w:lang w:val="fr-FR"/>
        </w:rPr>
        <w:t xml:space="preserve"> la base de données </w:t>
      </w:r>
      <w:r w:rsidR="00DE2B98" w:rsidRPr="00653B57">
        <w:rPr>
          <w:rFonts w:asciiTheme="minorHAnsi" w:hAnsiTheme="minorHAnsi"/>
          <w:b w:val="0"/>
          <w:bCs/>
          <w:sz w:val="20"/>
          <w:lang w:val="fr-FR"/>
        </w:rPr>
        <w:t xml:space="preserve">actuelle </w:t>
      </w:r>
      <w:r w:rsidRPr="00653B57">
        <w:rPr>
          <w:rFonts w:asciiTheme="minorHAnsi" w:hAnsiTheme="minorHAnsi"/>
          <w:b w:val="0"/>
          <w:bCs/>
          <w:sz w:val="20"/>
          <w:lang w:val="fr-FR"/>
        </w:rPr>
        <w:t>des compétences du programme</w:t>
      </w:r>
      <w:r w:rsidR="00DE2B98">
        <w:rPr>
          <w:rFonts w:asciiTheme="minorHAnsi" w:hAnsiTheme="minorHAnsi"/>
          <w:b w:val="0"/>
          <w:bCs/>
          <w:sz w:val="20"/>
          <w:lang w:val="fr-FR"/>
        </w:rPr>
        <w:t>, et fait une ébauche de compétences à partir d’une revue des lignes directrices émergentes en santé publique et des organismes de régulation</w:t>
      </w:r>
      <w:r w:rsidRPr="00653B57">
        <w:rPr>
          <w:rFonts w:asciiTheme="minorHAnsi" w:hAnsiTheme="minorHAnsi"/>
          <w:b w:val="0"/>
          <w:bCs/>
          <w:sz w:val="20"/>
          <w:lang w:val="fr-FR"/>
        </w:rPr>
        <w:t xml:space="preserve">. La Phase 2 a consisté en la traduction, la révision par les membres ainsi que la rétroaction anonyme et la révision des compétences provisoires par les résidents et autres </w:t>
      </w:r>
      <w:r w:rsidR="00DE2B98">
        <w:rPr>
          <w:rFonts w:asciiTheme="minorHAnsi" w:hAnsiTheme="minorHAnsi"/>
          <w:b w:val="0"/>
          <w:bCs/>
          <w:sz w:val="20"/>
          <w:lang w:val="fr-FR"/>
        </w:rPr>
        <w:t>leaders en éducation</w:t>
      </w:r>
      <w:r w:rsidRPr="00653B57">
        <w:rPr>
          <w:rFonts w:asciiTheme="minorHAnsi" w:hAnsiTheme="minorHAnsi"/>
          <w:b w:val="0"/>
          <w:bCs/>
          <w:sz w:val="20"/>
          <w:lang w:val="fr-FR"/>
        </w:rPr>
        <w:t xml:space="preserve">. Durant la Phase 3, on a procédé à la diffusion </w:t>
      </w:r>
      <w:r w:rsidR="00DE2B98">
        <w:rPr>
          <w:rFonts w:asciiTheme="minorHAnsi" w:hAnsiTheme="minorHAnsi"/>
          <w:b w:val="0"/>
          <w:bCs/>
          <w:sz w:val="20"/>
          <w:lang w:val="fr-FR"/>
        </w:rPr>
        <w:t xml:space="preserve">à </w:t>
      </w:r>
      <w:r w:rsidRPr="00653B57">
        <w:rPr>
          <w:rFonts w:asciiTheme="minorHAnsi" w:hAnsiTheme="minorHAnsi"/>
          <w:b w:val="0"/>
          <w:bCs/>
          <w:sz w:val="20"/>
          <w:lang w:val="fr-FR"/>
        </w:rPr>
        <w:t>plus large</w:t>
      </w:r>
      <w:r w:rsidR="00DE2B98">
        <w:rPr>
          <w:rFonts w:asciiTheme="minorHAnsi" w:hAnsiTheme="minorHAnsi"/>
          <w:b w:val="0"/>
          <w:bCs/>
          <w:sz w:val="20"/>
          <w:lang w:val="fr-FR"/>
        </w:rPr>
        <w:t xml:space="preserve"> échelle</w:t>
      </w:r>
      <w:r w:rsidRPr="00653B57">
        <w:rPr>
          <w:rFonts w:asciiTheme="minorHAnsi" w:hAnsiTheme="minorHAnsi"/>
          <w:b w:val="0"/>
          <w:bCs/>
          <w:sz w:val="20"/>
          <w:lang w:val="fr-FR"/>
        </w:rPr>
        <w:t xml:space="preserve">, à la révision en collaboration et au recueil des commentaires des résidents et du corps professoral dans tout le département. </w:t>
      </w:r>
    </w:p>
    <w:p w14:paraId="459F7ED7" w14:textId="3D02D796" w:rsidR="00653B57" w:rsidRPr="00653B57" w:rsidRDefault="00653B57" w:rsidP="00653B57">
      <w:pPr>
        <w:pStyle w:val="CMEJIntroduction"/>
        <w:rPr>
          <w:rFonts w:asciiTheme="minorHAnsi" w:hAnsiTheme="minorHAnsi"/>
          <w:b w:val="0"/>
          <w:bCs/>
          <w:sz w:val="20"/>
          <w:lang w:val="fr-FR"/>
        </w:rPr>
      </w:pPr>
      <w:r w:rsidRPr="00653B57">
        <w:rPr>
          <w:rFonts w:asciiTheme="minorHAnsi" w:hAnsiTheme="minorHAnsi"/>
          <w:bCs/>
          <w:sz w:val="20"/>
          <w:lang w:val="fr-FR"/>
        </w:rPr>
        <w:t xml:space="preserve">Résultats </w:t>
      </w:r>
      <w:r w:rsidRPr="00653B57">
        <w:rPr>
          <w:rFonts w:asciiTheme="minorHAnsi" w:hAnsiTheme="minorHAnsi"/>
          <w:b w:val="0"/>
          <w:bCs/>
          <w:sz w:val="20"/>
          <w:lang w:val="fr-FR"/>
        </w:rPr>
        <w:t>: En tout, quarante-quatre (44) médecins</w:t>
      </w:r>
      <w:r w:rsidR="00DE2B98">
        <w:rPr>
          <w:rFonts w:asciiTheme="minorHAnsi" w:hAnsiTheme="minorHAnsi"/>
          <w:b w:val="0"/>
          <w:bCs/>
          <w:sz w:val="20"/>
          <w:lang w:val="fr-FR"/>
        </w:rPr>
        <w:t xml:space="preserve"> comportant</w:t>
      </w:r>
      <w:r w:rsidRPr="00653B57">
        <w:rPr>
          <w:rFonts w:asciiTheme="minorHAnsi" w:hAnsiTheme="minorHAnsi"/>
          <w:b w:val="0"/>
          <w:bCs/>
          <w:sz w:val="20"/>
          <w:lang w:val="fr-FR"/>
        </w:rPr>
        <w:t xml:space="preserve"> des résidents et des </w:t>
      </w:r>
      <w:r w:rsidR="00DE2B98">
        <w:rPr>
          <w:rFonts w:asciiTheme="minorHAnsi" w:hAnsiTheme="minorHAnsi"/>
          <w:b w:val="0"/>
          <w:bCs/>
          <w:sz w:val="20"/>
          <w:lang w:val="fr-FR"/>
        </w:rPr>
        <w:t>membres du corps professoral</w:t>
      </w:r>
      <w:r w:rsidR="00DE2B98" w:rsidRPr="00653B57">
        <w:rPr>
          <w:rFonts w:asciiTheme="minorHAnsi" w:hAnsiTheme="minorHAnsi"/>
          <w:b w:val="0"/>
          <w:bCs/>
          <w:sz w:val="20"/>
          <w:lang w:val="fr-FR"/>
        </w:rPr>
        <w:t xml:space="preserve"> </w:t>
      </w:r>
      <w:r w:rsidRPr="00653B57">
        <w:rPr>
          <w:rFonts w:asciiTheme="minorHAnsi" w:hAnsiTheme="minorHAnsi"/>
          <w:b w:val="0"/>
          <w:bCs/>
          <w:sz w:val="20"/>
          <w:lang w:val="fr-FR"/>
        </w:rPr>
        <w:t xml:space="preserve">de multiples </w:t>
      </w:r>
      <w:r w:rsidR="00DE2B98">
        <w:rPr>
          <w:rFonts w:asciiTheme="minorHAnsi" w:hAnsiTheme="minorHAnsi"/>
          <w:b w:val="0"/>
          <w:bCs/>
          <w:sz w:val="20"/>
          <w:lang w:val="fr-FR"/>
        </w:rPr>
        <w:t>contextes</w:t>
      </w:r>
      <w:r w:rsidRPr="00653B57">
        <w:rPr>
          <w:rFonts w:asciiTheme="minorHAnsi" w:hAnsiTheme="minorHAnsi"/>
          <w:b w:val="0"/>
          <w:bCs/>
          <w:sz w:val="20"/>
          <w:lang w:val="fr-FR"/>
        </w:rPr>
        <w:t xml:space="preserve">, ont </w:t>
      </w:r>
      <w:r w:rsidR="00DE2B98">
        <w:rPr>
          <w:rFonts w:asciiTheme="minorHAnsi" w:hAnsiTheme="minorHAnsi"/>
          <w:b w:val="0"/>
          <w:bCs/>
          <w:sz w:val="20"/>
          <w:lang w:val="fr-FR"/>
        </w:rPr>
        <w:t>fourni</w:t>
      </w:r>
      <w:r w:rsidR="00DE2B98" w:rsidRPr="00653B57">
        <w:rPr>
          <w:rFonts w:asciiTheme="minorHAnsi" w:hAnsiTheme="minorHAnsi"/>
          <w:b w:val="0"/>
          <w:bCs/>
          <w:sz w:val="20"/>
          <w:lang w:val="fr-FR"/>
        </w:rPr>
        <w:t xml:space="preserve"> </w:t>
      </w:r>
      <w:r w:rsidR="00DE2B98">
        <w:rPr>
          <w:rFonts w:asciiTheme="minorHAnsi" w:hAnsiTheme="minorHAnsi"/>
          <w:b w:val="0"/>
          <w:bCs/>
          <w:sz w:val="20"/>
          <w:lang w:val="fr-FR"/>
        </w:rPr>
        <w:t>une rétroaction</w:t>
      </w:r>
      <w:r w:rsidRPr="00653B57">
        <w:rPr>
          <w:rFonts w:asciiTheme="minorHAnsi" w:hAnsiTheme="minorHAnsi"/>
          <w:b w:val="0"/>
          <w:bCs/>
          <w:sz w:val="20"/>
          <w:lang w:val="fr-FR"/>
        </w:rPr>
        <w:t xml:space="preserve"> détaillé</w:t>
      </w:r>
      <w:r w:rsidR="00DE2B98">
        <w:rPr>
          <w:rFonts w:asciiTheme="minorHAnsi" w:hAnsiTheme="minorHAnsi"/>
          <w:b w:val="0"/>
          <w:bCs/>
          <w:sz w:val="20"/>
          <w:lang w:val="fr-FR"/>
        </w:rPr>
        <w:t>e</w:t>
      </w:r>
      <w:r w:rsidRPr="00653B57">
        <w:rPr>
          <w:rFonts w:asciiTheme="minorHAnsi" w:hAnsiTheme="minorHAnsi"/>
          <w:b w:val="0"/>
          <w:bCs/>
          <w:sz w:val="20"/>
          <w:lang w:val="fr-FR"/>
        </w:rPr>
        <w:t xml:space="preserve"> et procédé à l’examen et à la révision d’une liste finale de 33 compétences classées par rôles CanMEDS. </w:t>
      </w:r>
      <w:r w:rsidRPr="00653B57">
        <w:rPr>
          <w:rFonts w:asciiTheme="minorHAnsi" w:hAnsiTheme="minorHAnsi"/>
          <w:b w:val="0"/>
          <w:sz w:val="20"/>
          <w:lang w:val="fr-FR"/>
        </w:rPr>
        <w:t>Une très vaste majorité a convenu que les compétences produisent des résultats d’apprentissage raisonnables durant la pandémie de la COVID-19.</w:t>
      </w:r>
    </w:p>
    <w:p w14:paraId="12D1D780" w14:textId="5592A141" w:rsidR="00653B57" w:rsidRPr="00653B57" w:rsidRDefault="00653B57" w:rsidP="00653B57">
      <w:pPr>
        <w:pStyle w:val="CMEJIntroduction"/>
        <w:pBdr>
          <w:bottom w:val="single" w:sz="4" w:space="1" w:color="auto"/>
        </w:pBdr>
        <w:rPr>
          <w:rFonts w:asciiTheme="minorHAnsi" w:hAnsiTheme="minorHAnsi"/>
          <w:b w:val="0"/>
          <w:bCs/>
          <w:sz w:val="20"/>
          <w:lang w:val="fr-FR"/>
        </w:rPr>
      </w:pPr>
      <w:r w:rsidRPr="00653B57">
        <w:rPr>
          <w:rFonts w:asciiTheme="minorHAnsi" w:hAnsiTheme="minorHAnsi"/>
          <w:bCs/>
          <w:sz w:val="20"/>
          <w:lang w:val="fr-FR"/>
        </w:rPr>
        <w:t xml:space="preserve">Conclusions </w:t>
      </w:r>
      <w:r w:rsidRPr="00653B57">
        <w:rPr>
          <w:rFonts w:asciiTheme="minorHAnsi" w:hAnsiTheme="minorHAnsi"/>
          <w:b w:val="0"/>
          <w:bCs/>
          <w:sz w:val="20"/>
          <w:lang w:val="fr-FR"/>
        </w:rPr>
        <w:t xml:space="preserve">: Ces compétences représentent des objectifs d’apprentissage qui reflètent la perspective éducative initiale d’une vaste gamme de </w:t>
      </w:r>
      <w:r w:rsidR="00DE2B98">
        <w:rPr>
          <w:rFonts w:asciiTheme="minorHAnsi" w:hAnsiTheme="minorHAnsi"/>
          <w:b w:val="0"/>
          <w:bCs/>
          <w:sz w:val="20"/>
          <w:lang w:val="fr-FR"/>
        </w:rPr>
        <w:t>d’enseignants</w:t>
      </w:r>
      <w:r w:rsidR="00DE2B98" w:rsidRPr="00653B57">
        <w:rPr>
          <w:rFonts w:asciiTheme="minorHAnsi" w:hAnsiTheme="minorHAnsi"/>
          <w:b w:val="0"/>
          <w:bCs/>
          <w:sz w:val="20"/>
          <w:lang w:val="fr-FR"/>
        </w:rPr>
        <w:t xml:space="preserve"> </w:t>
      </w:r>
      <w:r w:rsidRPr="00653B57">
        <w:rPr>
          <w:rFonts w:asciiTheme="minorHAnsi" w:hAnsiTheme="minorHAnsi"/>
          <w:b w:val="0"/>
          <w:bCs/>
          <w:sz w:val="20"/>
          <w:lang w:val="fr-FR"/>
        </w:rPr>
        <w:t xml:space="preserve">et d’apprenants aux prises avec une pandémie mondiale. Le projet représente une nouvelle collaboration entre les programmes d’études comme une </w:t>
      </w:r>
      <w:r w:rsidR="00DE2B98">
        <w:rPr>
          <w:rFonts w:asciiTheme="minorHAnsi" w:hAnsiTheme="minorHAnsi"/>
          <w:b w:val="0"/>
          <w:bCs/>
          <w:sz w:val="20"/>
          <w:lang w:val="fr-FR"/>
        </w:rPr>
        <w:t>réponse éducative</w:t>
      </w:r>
      <w:r w:rsidR="00DE2B98" w:rsidRPr="00653B57">
        <w:rPr>
          <w:rFonts w:asciiTheme="minorHAnsi" w:hAnsiTheme="minorHAnsi"/>
          <w:b w:val="0"/>
          <w:bCs/>
          <w:sz w:val="20"/>
          <w:lang w:val="fr-FR"/>
        </w:rPr>
        <w:t xml:space="preserve"> </w:t>
      </w:r>
      <w:r w:rsidRPr="00653B57">
        <w:rPr>
          <w:rFonts w:asciiTheme="minorHAnsi" w:hAnsiTheme="minorHAnsi"/>
          <w:b w:val="0"/>
          <w:bCs/>
          <w:sz w:val="20"/>
          <w:lang w:val="fr-FR"/>
        </w:rPr>
        <w:t xml:space="preserve">rapide à une crise de santé publique. </w:t>
      </w:r>
    </w:p>
    <w:p w14:paraId="3E921272" w14:textId="77777777" w:rsidR="00E973C6" w:rsidRPr="008C479D" w:rsidRDefault="00E973C6" w:rsidP="0043485B">
      <w:pPr>
        <w:pStyle w:val="CMEJIntroduction"/>
        <w:rPr>
          <w:lang w:val="fr-CA"/>
        </w:rPr>
        <w:sectPr w:rsidR="00E973C6" w:rsidRPr="008C479D" w:rsidSect="007B7811">
          <w:footerReference w:type="default" r:id="rId16"/>
          <w:type w:val="continuous"/>
          <w:pgSz w:w="12240" w:h="15840"/>
          <w:pgMar w:top="1440" w:right="1440" w:bottom="720" w:left="1440" w:header="720" w:footer="720" w:gutter="0"/>
          <w:cols w:space="720"/>
          <w:docGrid w:linePitch="360"/>
        </w:sectPr>
      </w:pPr>
    </w:p>
    <w:p w14:paraId="7AE43B1B" w14:textId="36D48140" w:rsidR="0043485B" w:rsidRDefault="0043485B" w:rsidP="00C933DA">
      <w:pPr>
        <w:pStyle w:val="CMEJIntroduction"/>
      </w:pPr>
      <w:r w:rsidRPr="003C6DAE">
        <w:t>Introduction</w:t>
      </w:r>
    </w:p>
    <w:p w14:paraId="116F457A" w14:textId="5CFE9406" w:rsidR="00E47119" w:rsidRPr="003C6DAE" w:rsidRDefault="00E47119" w:rsidP="00E47119">
      <w:pPr>
        <w:pStyle w:val="CMEJBodytext"/>
      </w:pPr>
      <w:r w:rsidRPr="00E47119">
        <w:t>The bilingual University of Ottawa family medicine program trains family medicine specialists who are competent to provide comprehensive, compassionate care in any Canadian community.</w:t>
      </w:r>
      <w:r>
        <w:rPr>
          <w:vertAlign w:val="superscript"/>
        </w:rPr>
        <w:t>1</w:t>
      </w:r>
      <w:r>
        <w:t xml:space="preserve"> </w:t>
      </w:r>
      <w:r w:rsidRPr="00E47119">
        <w:t>The exceptional circumstances of the COVID-19 pandemic disrupted health systems internationally and forced sudden changes to many training programs including our own in mid-March 2020. Clinical experiences were cancelled or altered abruptly, virtual visits and supervision replaced in-person contact, and resident physicians were re-deployed to novel clinical contexts. For example, residents in our program return for a weekly family medicine ‘half day back’, regardless of their current clinical rotation, allowing a reconnection with a generalist family medicine mindset and practice, and continuity of care and education. However</w:t>
      </w:r>
      <w:r>
        <w:t>,</w:t>
      </w:r>
      <w:r w:rsidRPr="00E47119">
        <w:t xml:space="preserve"> in March 2020, anticipated surges in patient volumes and physician illnesses and quarantine, and an attempt to minimize clinicians moving between clinical contexts (reducing potential virus spread) led to several major disruptions. Half-day backs were cancelled, electives, leave and teaching and examinations (including the spring certification examination by College of Family Physicians of </w:t>
      </w:r>
      <w:r w:rsidRPr="00E47119">
        <w:t>Canada) were postponed or cancelled, and some residents were re-deployed to under-resourced settings which had not previously hosted residents. Clinical care in family medicine blocks changed dramatically with physical distancing and personal protective equipment requirements, minimal in-person visits (with reduced physical examination) and patient care delivered mostly virtually (phone or video conference), and physicians working remotely and often indirect supervision. All physicians faced new personal and professional challenges. In response to these changes, we launched an adapted, rapid consensus process to identify and define specific COVID-19 related competencies to guide teaching, learning, and feedback in the new clinical reality simultaneously affecting all Departments of Family Medicine across Canada.</w:t>
      </w:r>
    </w:p>
    <w:p w14:paraId="2BCF641B" w14:textId="5ADEFCA8" w:rsidR="00C933DA" w:rsidRDefault="00C933DA" w:rsidP="004B796B">
      <w:pPr>
        <w:pStyle w:val="CMEJMethodsResultsDiscussion"/>
      </w:pPr>
      <w:r w:rsidRPr="003C6DAE">
        <w:t>Methods</w:t>
      </w:r>
    </w:p>
    <w:p w14:paraId="1AFC5B6F" w14:textId="7D5CD39B" w:rsidR="00E47119" w:rsidRPr="00E47119" w:rsidRDefault="00E47119" w:rsidP="00E47119">
      <w:pPr>
        <w:pStyle w:val="CMEJBodytext"/>
      </w:pPr>
      <w:r w:rsidRPr="00E47119">
        <w:t xml:space="preserve">The uOttawa family medicine program is a bilingual (English, French) two-year residency, with a total of 138 residents (PGY1, PGY2) assigned primarily to one of several </w:t>
      </w:r>
      <w:proofErr w:type="gramStart"/>
      <w:r w:rsidRPr="00E47119">
        <w:t>dozen</w:t>
      </w:r>
      <w:proofErr w:type="gramEnd"/>
      <w:r w:rsidRPr="00E47119">
        <w:t xml:space="preserve"> of community-based practices across Eastern Ontario, or one of </w:t>
      </w:r>
      <w:r>
        <w:t>seven</w:t>
      </w:r>
      <w:r w:rsidRPr="00E47119">
        <w:t xml:space="preserve"> teaching units (affiliated with </w:t>
      </w:r>
      <w:r>
        <w:t>five</w:t>
      </w:r>
      <w:r w:rsidRPr="00E47119">
        <w:t xml:space="preserve"> hospitals in the Ottawa region and surrounding rural areas). Each resident is </w:t>
      </w:r>
      <w:r w:rsidRPr="00E47119">
        <w:lastRenderedPageBreak/>
        <w:t xml:space="preserve">assigned a faculty preceptor, who are overseen by educational leaders who report on resident progress monthly to a variety of Departmental of Family Medicine committees. </w:t>
      </w:r>
    </w:p>
    <w:p w14:paraId="37F9A694" w14:textId="77777777" w:rsidR="0017465D" w:rsidRDefault="00E47119" w:rsidP="00E47119">
      <w:pPr>
        <w:pStyle w:val="CMEJBodytext"/>
      </w:pPr>
      <w:r w:rsidRPr="00E47119">
        <w:t>We aimed to engage as many residents, faculty members and leaders in the Department as possible using an adapted approach based on the first three steps of the Kern model</w:t>
      </w:r>
      <w:r>
        <w:rPr>
          <w:vertAlign w:val="superscript"/>
        </w:rPr>
        <w:t>2</w:t>
      </w:r>
      <w:r w:rsidRPr="00E47119">
        <w:t>: problem identification and general needs assessment (step 1), targeted needs assessment (step 2); writing goals and objectives (step 3) (or more specifically learning ‘outcomes’ in this case</w:t>
      </w:r>
      <w:r>
        <w:rPr>
          <w:vertAlign w:val="superscript"/>
        </w:rPr>
        <w:t>3</w:t>
      </w:r>
      <w:r w:rsidRPr="00E47119">
        <w:t>);  CanMEDS is a one of the most widely used educational frameworks for organizing health professions competencies</w:t>
      </w:r>
      <w:r>
        <w:rPr>
          <w:vertAlign w:val="superscript"/>
        </w:rPr>
        <w:t>4-6</w:t>
      </w:r>
      <w:r w:rsidRPr="00E47119">
        <w:t xml:space="preserve"> and was chosen to organize competencies to allow their use in other Canadian family medicine programs, and non-family medicine specialties (Royal College of Physician and Surgeons of Canada). Traditional group consensus methods, such as Delphi and Nominal group methods</w:t>
      </w:r>
      <w:r>
        <w:rPr>
          <w:vertAlign w:val="superscript"/>
        </w:rPr>
        <w:t>7</w:t>
      </w:r>
      <w:r w:rsidRPr="00E47119">
        <w:t xml:space="preserve"> were considered inadequate to meet our urgent timeline to allow for the broad inclusivity needed to capture the contextual relevance of our diverse family medicine training environments and to allow for the timely application of the educational product. Instead, a process of writing, internal peer review, and revision, based on the first three steps of the Kern approach was utilized.</w:t>
      </w:r>
      <w:r>
        <w:rPr>
          <w:vertAlign w:val="superscript"/>
        </w:rPr>
        <w:t>2</w:t>
      </w:r>
      <w:r w:rsidRPr="00E47119">
        <w:t xml:space="preserve"> The </w:t>
      </w:r>
      <w:r w:rsidRPr="00E47119">
        <w:t>competencies created are really learning outcomes</w:t>
      </w:r>
      <w:r>
        <w:rPr>
          <w:vertAlign w:val="superscript"/>
        </w:rPr>
        <w:t>5</w:t>
      </w:r>
      <w:r w:rsidRPr="00E47119">
        <w:t xml:space="preserve"> which are specific, and observable and include cognitive (knowledge), affective (attitudinal), and psychomotor (skill and behaviours) outcomes for residents, patients, the health care system, and society. </w:t>
      </w:r>
    </w:p>
    <w:p w14:paraId="1EE3F878" w14:textId="3BA223EC" w:rsidR="0017465D" w:rsidRPr="0017465D" w:rsidRDefault="0017465D" w:rsidP="0017465D">
      <w:pPr>
        <w:pStyle w:val="CMEJBodytext"/>
      </w:pPr>
      <w:r w:rsidRPr="0017465D">
        <w:t xml:space="preserve">Table 1 provides a summary of the timeline used for the three-phase process that was conducted over a </w:t>
      </w:r>
      <w:proofErr w:type="gramStart"/>
      <w:r w:rsidRPr="0017465D">
        <w:t>three week</w:t>
      </w:r>
      <w:proofErr w:type="gramEnd"/>
      <w:r w:rsidRPr="0017465D">
        <w:t xml:space="preserve"> period. Rapid iterations of consultations with multiple forms of feedback allowed input from expanding groups of reviewers (faculty, residents).  Anonymous feedback through multiple choice, and open-ended questions was tracked in a six-question survey tool (Google Form), with four questions covering basic respondent demographics (to ensure responses from a range of respondents), and open-ended questions collecting suggested changes. </w:t>
      </w:r>
      <w:r w:rsidRPr="0017465D">
        <w:rPr>
          <w:i/>
        </w:rPr>
        <w:t>A priori,</w:t>
      </w:r>
      <w:r w:rsidRPr="0017465D">
        <w:t xml:space="preserve"> we decided we would progress to the next phase if &gt;90% of respondents agreed or strongly agreed with the statement on a 5 point Likert scale  (anchors: “strongly agree”, “agree”, “neutral”, “disagree”, “strongly disagree”)</w:t>
      </w:r>
      <w:r w:rsidR="009A1D70">
        <w:t xml:space="preserve">. </w:t>
      </w:r>
      <w:r w:rsidR="009A1D70" w:rsidRPr="00B00F10">
        <w:rPr>
          <w:rFonts w:ascii="Helvetica Neue" w:eastAsia="Times New Roman" w:hAnsi="Helvetica Neue"/>
          <w:color w:val="1D2228"/>
          <w:sz w:val="18"/>
          <w:szCs w:val="18"/>
        </w:rPr>
        <w:t xml:space="preserve">In the phase 3, </w:t>
      </w:r>
      <w:r w:rsidR="009A1D70">
        <w:rPr>
          <w:rFonts w:ascii="Helvetica Neue" w:eastAsia="Times New Roman" w:hAnsi="Helvetica Neue"/>
          <w:color w:val="1D2228"/>
          <w:sz w:val="18"/>
          <w:szCs w:val="18"/>
        </w:rPr>
        <w:t>95.7</w:t>
      </w:r>
      <w:r w:rsidR="009A1D70" w:rsidRPr="00D40F01">
        <w:rPr>
          <w:rFonts w:ascii="Helvetica Neue" w:eastAsia="Times New Roman" w:hAnsi="Helvetica Neue"/>
          <w:color w:val="1D2228"/>
          <w:sz w:val="18"/>
          <w:szCs w:val="18"/>
        </w:rPr>
        <w:t>% of respondents “agreed” or “strongly agreed” with the statement</w:t>
      </w:r>
      <w:r w:rsidRPr="0017465D">
        <w:t xml:space="preserve"> “As a whole the competencies form reasonable learning outcomes to guide our teaching, learning and feedback for residents during the COVID-19 pandemic.” </w:t>
      </w:r>
    </w:p>
    <w:p w14:paraId="4CE2D21F" w14:textId="7F783E60" w:rsidR="0017465D" w:rsidRPr="0017465D" w:rsidRDefault="0017465D" w:rsidP="00E47119">
      <w:pPr>
        <w:pStyle w:val="CMEJBodytext"/>
        <w:sectPr w:rsidR="0017465D" w:rsidRPr="0017465D" w:rsidSect="00D35AED">
          <w:type w:val="continuous"/>
          <w:pgSz w:w="12240" w:h="15840"/>
          <w:pgMar w:top="1440" w:right="1440" w:bottom="720" w:left="1440" w:header="720" w:footer="720" w:gutter="0"/>
          <w:cols w:num="2" w:space="720"/>
          <w:docGrid w:linePitch="360"/>
        </w:sectPr>
      </w:pPr>
    </w:p>
    <w:p w14:paraId="1098F7E0" w14:textId="77777777" w:rsidR="0017465D" w:rsidRDefault="00E47119" w:rsidP="00E47119">
      <w:pPr>
        <w:pStyle w:val="CMEJBodytext"/>
        <w:rPr>
          <w:b/>
        </w:rPr>
      </w:pPr>
      <w:r w:rsidRPr="00E47119">
        <w:rPr>
          <w:b/>
        </w:rPr>
        <w:t>Table 1: Three-phase process to define novel competencies related to Covid-19 Pandemic</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593"/>
        <w:gridCol w:w="3193"/>
        <w:gridCol w:w="4790"/>
      </w:tblGrid>
      <w:tr w:rsidR="005F6EAF" w:rsidRPr="0017465D" w14:paraId="4BA4F7D5" w14:textId="77777777" w:rsidTr="005F6EAF">
        <w:tc>
          <w:tcPr>
            <w:tcW w:w="832" w:type="pct"/>
            <w:tcBorders>
              <w:top w:val="single" w:sz="4" w:space="0" w:color="auto"/>
              <w:bottom w:val="single" w:sz="4" w:space="0" w:color="auto"/>
            </w:tcBorders>
            <w:shd w:val="clear" w:color="auto" w:fill="B8CCE4" w:themeFill="accent1" w:themeFillTint="66"/>
          </w:tcPr>
          <w:p w14:paraId="516E58D7" w14:textId="77777777" w:rsidR="0017465D" w:rsidRPr="0017465D" w:rsidRDefault="0017465D" w:rsidP="007B7811">
            <w:pPr>
              <w:pStyle w:val="CMEJBodytext"/>
              <w:spacing w:after="0" w:line="240" w:lineRule="auto"/>
              <w:jc w:val="left"/>
              <w:rPr>
                <w:sz w:val="15"/>
                <w:szCs w:val="15"/>
              </w:rPr>
            </w:pPr>
            <w:r w:rsidRPr="0017465D">
              <w:rPr>
                <w:sz w:val="15"/>
                <w:szCs w:val="15"/>
              </w:rPr>
              <w:t>Phase and Timing</w:t>
            </w:r>
          </w:p>
        </w:tc>
        <w:tc>
          <w:tcPr>
            <w:tcW w:w="1667" w:type="pct"/>
            <w:tcBorders>
              <w:top w:val="single" w:sz="4" w:space="0" w:color="auto"/>
              <w:bottom w:val="single" w:sz="4" w:space="0" w:color="auto"/>
            </w:tcBorders>
            <w:shd w:val="clear" w:color="auto" w:fill="B8CCE4" w:themeFill="accent1" w:themeFillTint="66"/>
          </w:tcPr>
          <w:p w14:paraId="11532406" w14:textId="77777777" w:rsidR="0017465D" w:rsidRPr="0017465D" w:rsidRDefault="0017465D" w:rsidP="007B7811">
            <w:pPr>
              <w:pStyle w:val="CMEJBodytext"/>
              <w:spacing w:after="0" w:line="240" w:lineRule="auto"/>
              <w:jc w:val="left"/>
              <w:rPr>
                <w:sz w:val="15"/>
                <w:szCs w:val="15"/>
              </w:rPr>
            </w:pPr>
            <w:r w:rsidRPr="0017465D">
              <w:rPr>
                <w:sz w:val="15"/>
                <w:szCs w:val="15"/>
              </w:rPr>
              <w:t>Participants</w:t>
            </w:r>
          </w:p>
        </w:tc>
        <w:tc>
          <w:tcPr>
            <w:tcW w:w="2501" w:type="pct"/>
            <w:tcBorders>
              <w:top w:val="single" w:sz="4" w:space="0" w:color="auto"/>
              <w:bottom w:val="single" w:sz="4" w:space="0" w:color="auto"/>
            </w:tcBorders>
            <w:shd w:val="clear" w:color="auto" w:fill="B8CCE4" w:themeFill="accent1" w:themeFillTint="66"/>
          </w:tcPr>
          <w:p w14:paraId="3D99AD95" w14:textId="77777777" w:rsidR="0017465D" w:rsidRPr="0017465D" w:rsidRDefault="0017465D" w:rsidP="007B7811">
            <w:pPr>
              <w:pStyle w:val="CMEJBodytext"/>
              <w:spacing w:after="0" w:line="240" w:lineRule="auto"/>
              <w:jc w:val="left"/>
              <w:rPr>
                <w:sz w:val="15"/>
                <w:szCs w:val="15"/>
              </w:rPr>
            </w:pPr>
            <w:r w:rsidRPr="0017465D">
              <w:rPr>
                <w:sz w:val="15"/>
                <w:szCs w:val="15"/>
              </w:rPr>
              <w:t>Activity Description</w:t>
            </w:r>
          </w:p>
        </w:tc>
      </w:tr>
      <w:tr w:rsidR="005F6EAF" w:rsidRPr="0017465D" w14:paraId="222EB66B" w14:textId="77777777" w:rsidTr="005F6EAF">
        <w:tc>
          <w:tcPr>
            <w:tcW w:w="832" w:type="pct"/>
            <w:tcBorders>
              <w:top w:val="single" w:sz="4" w:space="0" w:color="auto"/>
            </w:tcBorders>
          </w:tcPr>
          <w:p w14:paraId="12C483E4" w14:textId="77777777" w:rsidR="0017465D" w:rsidRPr="0017465D" w:rsidRDefault="0017465D" w:rsidP="007B7811">
            <w:pPr>
              <w:pStyle w:val="CMEJBodytext"/>
              <w:spacing w:after="0" w:line="240" w:lineRule="auto"/>
              <w:jc w:val="left"/>
              <w:rPr>
                <w:sz w:val="15"/>
                <w:szCs w:val="15"/>
              </w:rPr>
            </w:pPr>
            <w:r w:rsidRPr="0017465D">
              <w:rPr>
                <w:sz w:val="15"/>
                <w:szCs w:val="15"/>
              </w:rPr>
              <w:t>Phase 1: “Straw Dog Creation”</w:t>
            </w:r>
          </w:p>
          <w:p w14:paraId="18048FAE" w14:textId="77777777" w:rsidR="0017465D" w:rsidRPr="0017465D" w:rsidRDefault="0017465D" w:rsidP="007B7811">
            <w:pPr>
              <w:pStyle w:val="CMEJBodytext"/>
              <w:numPr>
                <w:ilvl w:val="0"/>
                <w:numId w:val="2"/>
              </w:numPr>
              <w:spacing w:after="0" w:line="240" w:lineRule="auto"/>
              <w:jc w:val="left"/>
              <w:rPr>
                <w:sz w:val="15"/>
                <w:szCs w:val="15"/>
              </w:rPr>
            </w:pPr>
            <w:r w:rsidRPr="0017465D">
              <w:rPr>
                <w:sz w:val="15"/>
                <w:szCs w:val="15"/>
              </w:rPr>
              <w:t>1 week</w:t>
            </w:r>
          </w:p>
          <w:p w14:paraId="0208D57D" w14:textId="77777777" w:rsidR="0017465D" w:rsidRPr="0017465D" w:rsidRDefault="0017465D" w:rsidP="007B7811">
            <w:pPr>
              <w:pStyle w:val="CMEJBodytext"/>
              <w:spacing w:after="0" w:line="240" w:lineRule="auto"/>
              <w:jc w:val="left"/>
              <w:rPr>
                <w:sz w:val="15"/>
                <w:szCs w:val="15"/>
              </w:rPr>
            </w:pPr>
          </w:p>
        </w:tc>
        <w:tc>
          <w:tcPr>
            <w:tcW w:w="1667" w:type="pct"/>
            <w:tcBorders>
              <w:top w:val="single" w:sz="4" w:space="0" w:color="auto"/>
            </w:tcBorders>
          </w:tcPr>
          <w:p w14:paraId="27F2D6A2" w14:textId="77777777" w:rsidR="0017465D" w:rsidRPr="0017465D" w:rsidRDefault="0017465D" w:rsidP="007B7811">
            <w:pPr>
              <w:pStyle w:val="CMEJBodytext"/>
              <w:numPr>
                <w:ilvl w:val="0"/>
                <w:numId w:val="6"/>
              </w:numPr>
              <w:spacing w:after="0" w:line="240" w:lineRule="auto"/>
              <w:jc w:val="left"/>
              <w:rPr>
                <w:sz w:val="15"/>
                <w:szCs w:val="15"/>
              </w:rPr>
            </w:pPr>
            <w:r w:rsidRPr="0017465D">
              <w:rPr>
                <w:sz w:val="15"/>
                <w:szCs w:val="15"/>
              </w:rPr>
              <w:t>Faculty Development Director</w:t>
            </w:r>
          </w:p>
          <w:p w14:paraId="2A20BD80" w14:textId="77777777" w:rsidR="0017465D" w:rsidRPr="0017465D" w:rsidRDefault="0017465D" w:rsidP="007B7811">
            <w:pPr>
              <w:pStyle w:val="CMEJBodytext"/>
              <w:numPr>
                <w:ilvl w:val="0"/>
                <w:numId w:val="6"/>
              </w:numPr>
              <w:spacing w:after="0" w:line="240" w:lineRule="auto"/>
              <w:jc w:val="left"/>
              <w:rPr>
                <w:sz w:val="15"/>
                <w:szCs w:val="15"/>
              </w:rPr>
            </w:pPr>
            <w:r w:rsidRPr="0017465D">
              <w:rPr>
                <w:sz w:val="15"/>
                <w:szCs w:val="15"/>
              </w:rPr>
              <w:t>Postgraduate (PG) Education Directors (current and former)</w:t>
            </w:r>
          </w:p>
          <w:p w14:paraId="4512AE44" w14:textId="77777777" w:rsidR="0017465D" w:rsidRPr="0017465D" w:rsidRDefault="0017465D" w:rsidP="007B7811">
            <w:pPr>
              <w:pStyle w:val="CMEJBodytext"/>
              <w:numPr>
                <w:ilvl w:val="0"/>
                <w:numId w:val="6"/>
              </w:numPr>
              <w:spacing w:after="0" w:line="240" w:lineRule="auto"/>
              <w:jc w:val="left"/>
              <w:rPr>
                <w:sz w:val="15"/>
                <w:szCs w:val="15"/>
              </w:rPr>
            </w:pPr>
            <w:r w:rsidRPr="0017465D">
              <w:rPr>
                <w:sz w:val="15"/>
                <w:szCs w:val="15"/>
              </w:rPr>
              <w:t>Curriculum Director</w:t>
            </w:r>
          </w:p>
          <w:p w14:paraId="78B44D94" w14:textId="77777777" w:rsidR="0017465D" w:rsidRPr="0017465D" w:rsidRDefault="0017465D" w:rsidP="007B7811">
            <w:pPr>
              <w:pStyle w:val="CMEJBodytext"/>
              <w:numPr>
                <w:ilvl w:val="0"/>
                <w:numId w:val="6"/>
              </w:numPr>
              <w:spacing w:after="0" w:line="240" w:lineRule="auto"/>
              <w:jc w:val="left"/>
              <w:rPr>
                <w:sz w:val="15"/>
                <w:szCs w:val="15"/>
              </w:rPr>
            </w:pPr>
            <w:r w:rsidRPr="0017465D">
              <w:rPr>
                <w:sz w:val="15"/>
                <w:szCs w:val="15"/>
              </w:rPr>
              <w:t xml:space="preserve">Evaluation Directors (current, former) </w:t>
            </w:r>
          </w:p>
          <w:p w14:paraId="38110FAB" w14:textId="77777777" w:rsidR="0017465D" w:rsidRPr="0017465D" w:rsidRDefault="0017465D" w:rsidP="007B7811">
            <w:pPr>
              <w:pStyle w:val="CMEJBodytext"/>
              <w:numPr>
                <w:ilvl w:val="0"/>
                <w:numId w:val="6"/>
              </w:numPr>
              <w:spacing w:after="0" w:line="240" w:lineRule="auto"/>
              <w:jc w:val="left"/>
              <w:rPr>
                <w:sz w:val="15"/>
                <w:szCs w:val="15"/>
              </w:rPr>
            </w:pPr>
            <w:r w:rsidRPr="0017465D">
              <w:rPr>
                <w:sz w:val="15"/>
                <w:szCs w:val="15"/>
              </w:rPr>
              <w:t>Chair of Family Medicine</w:t>
            </w:r>
          </w:p>
          <w:p w14:paraId="0192D1FD" w14:textId="77777777" w:rsidR="0017465D" w:rsidRPr="0017465D" w:rsidRDefault="0017465D" w:rsidP="007B7811">
            <w:pPr>
              <w:pStyle w:val="CMEJBodytext"/>
              <w:numPr>
                <w:ilvl w:val="0"/>
                <w:numId w:val="6"/>
              </w:numPr>
              <w:spacing w:after="0" w:line="240" w:lineRule="auto"/>
              <w:jc w:val="left"/>
              <w:rPr>
                <w:sz w:val="15"/>
                <w:szCs w:val="15"/>
              </w:rPr>
            </w:pPr>
            <w:r w:rsidRPr="0017465D">
              <w:rPr>
                <w:sz w:val="15"/>
                <w:szCs w:val="15"/>
              </w:rPr>
              <w:t>Director of Undergraduate Education</w:t>
            </w:r>
          </w:p>
          <w:p w14:paraId="788E9998" w14:textId="77777777" w:rsidR="0017465D" w:rsidRPr="0017465D" w:rsidRDefault="0017465D" w:rsidP="007B7811">
            <w:pPr>
              <w:pStyle w:val="CMEJBodytext"/>
              <w:numPr>
                <w:ilvl w:val="0"/>
                <w:numId w:val="6"/>
              </w:numPr>
              <w:spacing w:after="0" w:line="240" w:lineRule="auto"/>
              <w:jc w:val="left"/>
              <w:rPr>
                <w:sz w:val="15"/>
                <w:szCs w:val="15"/>
              </w:rPr>
            </w:pPr>
            <w:r w:rsidRPr="0017465D">
              <w:rPr>
                <w:sz w:val="15"/>
                <w:szCs w:val="15"/>
              </w:rPr>
              <w:t>Director of Research</w:t>
            </w:r>
          </w:p>
        </w:tc>
        <w:tc>
          <w:tcPr>
            <w:tcW w:w="2501" w:type="pct"/>
            <w:tcBorders>
              <w:top w:val="single" w:sz="4" w:space="0" w:color="auto"/>
            </w:tcBorders>
          </w:tcPr>
          <w:p w14:paraId="11A74F63"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 xml:space="preserve">Define emerging challenges facing residents and faculty (needs, gaps) working in multiple contexts via discussions over email, video-conferences </w:t>
            </w:r>
          </w:p>
          <w:p w14:paraId="5A9D4F06"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 xml:space="preserve">Review of emerging guidelines, educational policies and health standards+ </w:t>
            </w:r>
          </w:p>
          <w:p w14:paraId="5FED6CA6"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 xml:space="preserve">Identify gaps in existing curricula, educational tools and competency database </w:t>
            </w:r>
          </w:p>
          <w:p w14:paraId="326E037B"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 xml:space="preserve">Adapt competencies or create them </w:t>
            </w:r>
            <w:r w:rsidRPr="0017465D">
              <w:rPr>
                <w:i/>
                <w:sz w:val="15"/>
                <w:szCs w:val="15"/>
              </w:rPr>
              <w:t xml:space="preserve">de novo </w:t>
            </w:r>
            <w:r w:rsidRPr="0017465D">
              <w:rPr>
                <w:sz w:val="15"/>
                <w:szCs w:val="15"/>
              </w:rPr>
              <w:t xml:space="preserve">using principles consistent with competency-based curriculum development (e.g. relevant, observable outcomes) [5-8] </w:t>
            </w:r>
          </w:p>
          <w:p w14:paraId="41886418"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Circulate draft competencies by email in a Word document</w:t>
            </w:r>
          </w:p>
          <w:p w14:paraId="2874C177"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Incorporate edits and feedback (non-anonymous) through email, and verbally over conference calls</w:t>
            </w:r>
          </w:p>
        </w:tc>
      </w:tr>
      <w:tr w:rsidR="005F6EAF" w:rsidRPr="0017465D" w14:paraId="03890357" w14:textId="77777777" w:rsidTr="005F6EAF">
        <w:tc>
          <w:tcPr>
            <w:tcW w:w="832" w:type="pct"/>
          </w:tcPr>
          <w:p w14:paraId="7518E595" w14:textId="77777777" w:rsidR="0017465D" w:rsidRPr="0017465D" w:rsidRDefault="0017465D" w:rsidP="007B7811">
            <w:pPr>
              <w:pStyle w:val="CMEJBodytext"/>
              <w:spacing w:after="0" w:line="240" w:lineRule="auto"/>
              <w:jc w:val="left"/>
              <w:rPr>
                <w:sz w:val="15"/>
                <w:szCs w:val="15"/>
              </w:rPr>
            </w:pPr>
            <w:r w:rsidRPr="0017465D">
              <w:rPr>
                <w:sz w:val="15"/>
                <w:szCs w:val="15"/>
              </w:rPr>
              <w:t xml:space="preserve">Phase 2: “Input &amp; Clarity Check” </w:t>
            </w:r>
          </w:p>
          <w:p w14:paraId="6234BD5A" w14:textId="36194E56" w:rsidR="0017465D" w:rsidRPr="0017465D" w:rsidRDefault="0017465D" w:rsidP="007B7811">
            <w:pPr>
              <w:pStyle w:val="CMEJBodytext"/>
              <w:numPr>
                <w:ilvl w:val="0"/>
                <w:numId w:val="3"/>
              </w:numPr>
              <w:spacing w:after="0" w:line="240" w:lineRule="auto"/>
              <w:jc w:val="left"/>
              <w:rPr>
                <w:sz w:val="15"/>
                <w:szCs w:val="15"/>
              </w:rPr>
            </w:pPr>
            <w:r w:rsidRPr="0017465D">
              <w:rPr>
                <w:sz w:val="15"/>
                <w:szCs w:val="15"/>
              </w:rPr>
              <w:t>1 week</w:t>
            </w:r>
          </w:p>
        </w:tc>
        <w:tc>
          <w:tcPr>
            <w:tcW w:w="1667" w:type="pct"/>
          </w:tcPr>
          <w:p w14:paraId="1C5105C2" w14:textId="77777777" w:rsidR="0017465D" w:rsidRPr="0017465D" w:rsidRDefault="0017465D" w:rsidP="007B7811">
            <w:pPr>
              <w:pStyle w:val="CMEJBodytext"/>
              <w:numPr>
                <w:ilvl w:val="0"/>
                <w:numId w:val="4"/>
              </w:numPr>
              <w:spacing w:after="0" w:line="240" w:lineRule="auto"/>
              <w:ind w:left="414" w:hanging="357"/>
              <w:jc w:val="left"/>
              <w:rPr>
                <w:sz w:val="15"/>
                <w:szCs w:val="15"/>
              </w:rPr>
            </w:pPr>
            <w:r w:rsidRPr="0017465D">
              <w:rPr>
                <w:sz w:val="15"/>
                <w:szCs w:val="15"/>
              </w:rPr>
              <w:t>PG Directors (from each of the 7 urban and rural teaching units and community-faculty)</w:t>
            </w:r>
          </w:p>
          <w:p w14:paraId="6B5691B4" w14:textId="77777777" w:rsidR="0017465D" w:rsidRPr="0017465D" w:rsidRDefault="0017465D" w:rsidP="007B7811">
            <w:pPr>
              <w:pStyle w:val="CMEJBodytext"/>
              <w:numPr>
                <w:ilvl w:val="0"/>
                <w:numId w:val="4"/>
              </w:numPr>
              <w:spacing w:after="0" w:line="240" w:lineRule="auto"/>
              <w:ind w:left="414" w:hanging="357"/>
              <w:jc w:val="left"/>
              <w:rPr>
                <w:sz w:val="15"/>
                <w:szCs w:val="15"/>
              </w:rPr>
            </w:pPr>
            <w:r w:rsidRPr="0017465D">
              <w:rPr>
                <w:sz w:val="15"/>
                <w:szCs w:val="15"/>
              </w:rPr>
              <w:t xml:space="preserve">Chief resident physicians </w:t>
            </w:r>
          </w:p>
          <w:p w14:paraId="7320A95D" w14:textId="77777777" w:rsidR="0017465D" w:rsidRPr="0017465D" w:rsidRDefault="0017465D" w:rsidP="007B7811">
            <w:pPr>
              <w:pStyle w:val="CMEJBodytext"/>
              <w:numPr>
                <w:ilvl w:val="0"/>
                <w:numId w:val="4"/>
              </w:numPr>
              <w:spacing w:after="0" w:line="240" w:lineRule="auto"/>
              <w:ind w:left="414" w:hanging="357"/>
              <w:jc w:val="left"/>
              <w:rPr>
                <w:sz w:val="15"/>
                <w:szCs w:val="15"/>
              </w:rPr>
            </w:pPr>
            <w:r w:rsidRPr="0017465D">
              <w:rPr>
                <w:sz w:val="15"/>
                <w:szCs w:val="15"/>
              </w:rPr>
              <w:t>Invited faculty and residents from diverse educational contexts</w:t>
            </w:r>
          </w:p>
        </w:tc>
        <w:tc>
          <w:tcPr>
            <w:tcW w:w="2501" w:type="pct"/>
          </w:tcPr>
          <w:p w14:paraId="470E421B"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 xml:space="preserve">Translate draft competencies </w:t>
            </w:r>
          </w:p>
          <w:p w14:paraId="090AE040"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Solicit non-anonymous feedback (verbally over conference calls and in writing email, collaborative writing document - Google Doc) and anonymous online surveys (6 question feedback tool - Google Form)</w:t>
            </w:r>
          </w:p>
          <w:p w14:paraId="0149B3F2"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Adapt document to incorporate suggested changes or concerns</w:t>
            </w:r>
          </w:p>
        </w:tc>
      </w:tr>
      <w:tr w:rsidR="005F6EAF" w:rsidRPr="0017465D" w14:paraId="274C6CF7" w14:textId="77777777" w:rsidTr="005F6EAF">
        <w:tc>
          <w:tcPr>
            <w:tcW w:w="832" w:type="pct"/>
          </w:tcPr>
          <w:p w14:paraId="3A51CB77" w14:textId="77777777" w:rsidR="0017465D" w:rsidRPr="0017465D" w:rsidRDefault="0017465D" w:rsidP="007B7811">
            <w:pPr>
              <w:pStyle w:val="CMEJBodytext"/>
              <w:spacing w:after="0" w:line="240" w:lineRule="auto"/>
              <w:jc w:val="left"/>
              <w:rPr>
                <w:sz w:val="15"/>
                <w:szCs w:val="15"/>
              </w:rPr>
            </w:pPr>
            <w:r w:rsidRPr="0017465D">
              <w:rPr>
                <w:sz w:val="15"/>
                <w:szCs w:val="15"/>
              </w:rPr>
              <w:t>Phase 3: “Broad Input &amp; Dissemination”</w:t>
            </w:r>
          </w:p>
          <w:p w14:paraId="6EF775AB" w14:textId="77777777" w:rsidR="0017465D" w:rsidRPr="0017465D" w:rsidRDefault="0017465D" w:rsidP="007B7811">
            <w:pPr>
              <w:pStyle w:val="CMEJBodytext"/>
              <w:numPr>
                <w:ilvl w:val="0"/>
                <w:numId w:val="2"/>
              </w:numPr>
              <w:spacing w:after="0" w:line="240" w:lineRule="auto"/>
              <w:jc w:val="left"/>
              <w:rPr>
                <w:sz w:val="15"/>
                <w:szCs w:val="15"/>
              </w:rPr>
            </w:pPr>
            <w:r w:rsidRPr="0017465D">
              <w:rPr>
                <w:sz w:val="15"/>
                <w:szCs w:val="15"/>
              </w:rPr>
              <w:t>1 week</w:t>
            </w:r>
          </w:p>
          <w:p w14:paraId="266A0F1E" w14:textId="77777777" w:rsidR="0017465D" w:rsidRPr="0017465D" w:rsidRDefault="0017465D" w:rsidP="007B7811">
            <w:pPr>
              <w:pStyle w:val="CMEJBodytext"/>
              <w:spacing w:after="0" w:line="240" w:lineRule="auto"/>
              <w:jc w:val="left"/>
              <w:rPr>
                <w:sz w:val="15"/>
                <w:szCs w:val="15"/>
              </w:rPr>
            </w:pPr>
          </w:p>
        </w:tc>
        <w:tc>
          <w:tcPr>
            <w:tcW w:w="1667" w:type="pct"/>
          </w:tcPr>
          <w:p w14:paraId="4DD2BE40" w14:textId="77777777" w:rsidR="0017465D" w:rsidRPr="0017465D" w:rsidRDefault="0017465D" w:rsidP="007B7811">
            <w:pPr>
              <w:pStyle w:val="CMEJBodytext"/>
              <w:numPr>
                <w:ilvl w:val="0"/>
                <w:numId w:val="4"/>
              </w:numPr>
              <w:spacing w:after="0" w:line="240" w:lineRule="auto"/>
              <w:ind w:left="414" w:hanging="357"/>
              <w:jc w:val="left"/>
              <w:rPr>
                <w:sz w:val="15"/>
                <w:szCs w:val="15"/>
              </w:rPr>
            </w:pPr>
            <w:r w:rsidRPr="0017465D">
              <w:rPr>
                <w:sz w:val="15"/>
                <w:szCs w:val="15"/>
              </w:rPr>
              <w:t>All resident physicians</w:t>
            </w:r>
          </w:p>
          <w:p w14:paraId="28D97A9D" w14:textId="77777777" w:rsidR="0017465D" w:rsidRPr="0017465D" w:rsidRDefault="0017465D" w:rsidP="007B7811">
            <w:pPr>
              <w:pStyle w:val="CMEJBodytext"/>
              <w:numPr>
                <w:ilvl w:val="0"/>
                <w:numId w:val="4"/>
              </w:numPr>
              <w:spacing w:after="0" w:line="240" w:lineRule="auto"/>
              <w:ind w:left="414" w:hanging="357"/>
              <w:jc w:val="left"/>
              <w:rPr>
                <w:sz w:val="15"/>
                <w:szCs w:val="15"/>
              </w:rPr>
            </w:pPr>
            <w:r w:rsidRPr="0017465D">
              <w:rPr>
                <w:sz w:val="15"/>
                <w:szCs w:val="15"/>
              </w:rPr>
              <w:t>Faculty clinical leads</w:t>
            </w:r>
          </w:p>
          <w:p w14:paraId="3A4198F3" w14:textId="77777777" w:rsidR="0017465D" w:rsidRPr="0017465D" w:rsidRDefault="0017465D" w:rsidP="007B7811">
            <w:pPr>
              <w:pStyle w:val="CMEJBodytext"/>
              <w:numPr>
                <w:ilvl w:val="0"/>
                <w:numId w:val="4"/>
              </w:numPr>
              <w:spacing w:after="0" w:line="240" w:lineRule="auto"/>
              <w:ind w:left="414" w:hanging="357"/>
              <w:jc w:val="left"/>
              <w:rPr>
                <w:sz w:val="15"/>
                <w:szCs w:val="15"/>
              </w:rPr>
            </w:pPr>
            <w:r w:rsidRPr="0017465D">
              <w:rPr>
                <w:sz w:val="15"/>
                <w:szCs w:val="15"/>
              </w:rPr>
              <w:t>CFPC PG directors nationally</w:t>
            </w:r>
          </w:p>
          <w:p w14:paraId="019579CC" w14:textId="77777777" w:rsidR="0017465D" w:rsidRPr="0017465D" w:rsidRDefault="0017465D" w:rsidP="007B7811">
            <w:pPr>
              <w:pStyle w:val="CMEJBodytext"/>
              <w:numPr>
                <w:ilvl w:val="0"/>
                <w:numId w:val="4"/>
              </w:numPr>
              <w:spacing w:after="0" w:line="240" w:lineRule="auto"/>
              <w:ind w:left="414" w:hanging="357"/>
              <w:jc w:val="left"/>
              <w:rPr>
                <w:sz w:val="15"/>
                <w:szCs w:val="15"/>
              </w:rPr>
            </w:pPr>
            <w:r w:rsidRPr="0017465D">
              <w:rPr>
                <w:sz w:val="15"/>
                <w:szCs w:val="15"/>
              </w:rPr>
              <w:t>CFPC Faculty Development Education Committee</w:t>
            </w:r>
          </w:p>
        </w:tc>
        <w:tc>
          <w:tcPr>
            <w:tcW w:w="2501" w:type="pct"/>
          </w:tcPr>
          <w:p w14:paraId="5E6E4094"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Create PDF version of competencies to improve ease of reading and review</w:t>
            </w:r>
          </w:p>
          <w:p w14:paraId="46B053D2"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Solicit non-anonymous feedback (email, collaborative writing document - Google Doc – and verbally over conference calls) and new anonymous online surveys (6 question feedback tool - Google Form)</w:t>
            </w:r>
          </w:p>
          <w:p w14:paraId="758C6D5D" w14:textId="77777777" w:rsidR="0017465D" w:rsidRPr="0017465D" w:rsidRDefault="0017465D" w:rsidP="007B7811">
            <w:pPr>
              <w:pStyle w:val="CMEJBodytext"/>
              <w:numPr>
                <w:ilvl w:val="0"/>
                <w:numId w:val="5"/>
              </w:numPr>
              <w:spacing w:after="0" w:line="240" w:lineRule="auto"/>
              <w:ind w:left="414" w:hanging="357"/>
              <w:jc w:val="left"/>
              <w:rPr>
                <w:sz w:val="15"/>
                <w:szCs w:val="15"/>
              </w:rPr>
            </w:pPr>
            <w:r w:rsidRPr="0017465D">
              <w:rPr>
                <w:sz w:val="15"/>
                <w:szCs w:val="15"/>
              </w:rPr>
              <w:t>Adapt document to incorporate suggested changes or concerns</w:t>
            </w:r>
          </w:p>
        </w:tc>
      </w:tr>
    </w:tbl>
    <w:p w14:paraId="74BDA515" w14:textId="77777777" w:rsidR="0017465D" w:rsidRPr="0017465D" w:rsidRDefault="0017465D" w:rsidP="0017465D">
      <w:pPr>
        <w:pStyle w:val="CMEJBodytext"/>
        <w:rPr>
          <w:i/>
          <w:sz w:val="12"/>
          <w:szCs w:val="12"/>
        </w:rPr>
      </w:pPr>
      <w:r w:rsidRPr="0017465D">
        <w:rPr>
          <w:i/>
          <w:sz w:val="12"/>
          <w:szCs w:val="12"/>
        </w:rPr>
        <w:t>+ College of Physicians and Surgeons of Ontario, Canadian Medical Protective Association, Canadian Medical Association, Ontario Medical Association, Public Health Agency of Canada, Professional Association of Residents of Ontario, and policies from uOttawa Faculty of Medicine.</w:t>
      </w:r>
    </w:p>
    <w:p w14:paraId="1AD0A59E" w14:textId="77777777" w:rsidR="0017465D" w:rsidRPr="007B7811" w:rsidRDefault="0017465D" w:rsidP="00E47119">
      <w:pPr>
        <w:pStyle w:val="CMEJBodytext"/>
        <w:rPr>
          <w:b/>
          <w:sz w:val="2"/>
          <w:szCs w:val="2"/>
        </w:rPr>
      </w:pPr>
    </w:p>
    <w:p w14:paraId="0B9779E0" w14:textId="576A0F0F" w:rsidR="0017465D" w:rsidRPr="0017465D" w:rsidRDefault="0017465D" w:rsidP="00E47119">
      <w:pPr>
        <w:pStyle w:val="CMEJBodytext"/>
        <w:rPr>
          <w:b/>
          <w:sz w:val="2"/>
          <w:szCs w:val="2"/>
        </w:rPr>
        <w:sectPr w:rsidR="0017465D" w:rsidRPr="0017465D" w:rsidSect="0017465D">
          <w:type w:val="continuous"/>
          <w:pgSz w:w="12240" w:h="15840"/>
          <w:pgMar w:top="1440" w:right="1440" w:bottom="720" w:left="1440" w:header="720" w:footer="720" w:gutter="0"/>
          <w:cols w:space="720"/>
          <w:docGrid w:linePitch="360"/>
        </w:sectPr>
      </w:pPr>
    </w:p>
    <w:p w14:paraId="0BED9C20" w14:textId="11A25E5D" w:rsidR="005F6EAF" w:rsidRDefault="005F6EAF" w:rsidP="005F6EAF">
      <w:pPr>
        <w:pStyle w:val="CMEJBodytext"/>
      </w:pPr>
      <w:r w:rsidRPr="005F6EAF">
        <w:rPr>
          <w:lang w:val="en-US"/>
        </w:rPr>
        <w:lastRenderedPageBreak/>
        <w:t xml:space="preserve">The project was granted a signed Research Ethics Board review exemption, </w:t>
      </w:r>
      <w:r w:rsidRPr="005F6EAF">
        <w:rPr>
          <w:bCs/>
          <w:iCs/>
          <w:lang w:val="en-US"/>
        </w:rPr>
        <w:t>and is a registered quality improvement project with</w:t>
      </w:r>
      <w:r w:rsidRPr="005F6EAF">
        <w:rPr>
          <w:lang w:val="en-US"/>
        </w:rPr>
        <w:t xml:space="preserve"> the </w:t>
      </w:r>
      <w:r w:rsidRPr="005F6EAF">
        <w:rPr>
          <w:bCs/>
          <w:iCs/>
          <w:lang w:val="en-US"/>
        </w:rPr>
        <w:t>Ottawa Health Science Network Research Ethics Board (OHSN-REB).</w:t>
      </w:r>
    </w:p>
    <w:p w14:paraId="7858F341" w14:textId="3CCC7D3F" w:rsidR="00C933DA" w:rsidRDefault="00C933DA" w:rsidP="00C933DA">
      <w:pPr>
        <w:pStyle w:val="CMEJMethodsResultsDiscussion"/>
      </w:pPr>
      <w:r w:rsidRPr="003C6DAE">
        <w:t>Results</w:t>
      </w:r>
    </w:p>
    <w:p w14:paraId="4940554E" w14:textId="3201D915" w:rsidR="00653B57" w:rsidRDefault="00E47119" w:rsidP="00E47119">
      <w:pPr>
        <w:pStyle w:val="CMEJBodytext"/>
        <w:rPr>
          <w:lang w:val="en-US"/>
        </w:rPr>
      </w:pPr>
      <w:r w:rsidRPr="00E47119">
        <w:rPr>
          <w:lang w:val="en-US"/>
        </w:rPr>
        <w:t>The process and results are described in Table 2. A total of 33 COVID-19 pandemic-specific competencies were created by the end of the departmental process (Figure 1</w:t>
      </w:r>
      <w:r w:rsidR="0017465D">
        <w:rPr>
          <w:lang w:val="en-US"/>
        </w:rPr>
        <w:t xml:space="preserve">; </w:t>
      </w:r>
      <w:r w:rsidR="0017465D" w:rsidRPr="0017465D">
        <w:rPr>
          <w:lang w:val="en-US"/>
        </w:rPr>
        <w:t xml:space="preserve">see supplemental </w:t>
      </w:r>
      <w:r w:rsidR="0017465D" w:rsidRPr="0017465D">
        <w:rPr>
          <w:lang w:val="en-US"/>
        </w:rPr>
        <w:t>data</w:t>
      </w:r>
      <w:r w:rsidRPr="0017465D">
        <w:rPr>
          <w:lang w:val="en-US"/>
        </w:rPr>
        <w:t>).</w:t>
      </w:r>
      <w:r w:rsidRPr="00E47119">
        <w:rPr>
          <w:lang w:val="en-US"/>
        </w:rPr>
        <w:t xml:space="preserve"> In phase three, anonymous feedback (</w:t>
      </w:r>
      <w:r w:rsidRPr="00E47119">
        <w:rPr>
          <w:i/>
          <w:lang w:val="en-US"/>
        </w:rPr>
        <w:t>n</w:t>
      </w:r>
      <w:r>
        <w:rPr>
          <w:lang w:val="en-US"/>
        </w:rPr>
        <w:t xml:space="preserve"> </w:t>
      </w:r>
      <w:r w:rsidRPr="00E47119">
        <w:rPr>
          <w:lang w:val="en-US"/>
        </w:rPr>
        <w:t>= 24) was provided by residents (</w:t>
      </w:r>
      <w:r w:rsidRPr="00E47119">
        <w:rPr>
          <w:i/>
          <w:lang w:val="en-US"/>
        </w:rPr>
        <w:t>n</w:t>
      </w:r>
      <w:r w:rsidRPr="00E47119">
        <w:rPr>
          <w:lang w:val="en-US"/>
        </w:rPr>
        <w:t xml:space="preserve"> = 11, 45.8%) and faculty (</w:t>
      </w:r>
      <w:r w:rsidRPr="00E47119">
        <w:rPr>
          <w:i/>
          <w:lang w:val="en-US"/>
        </w:rPr>
        <w:t>n</w:t>
      </w:r>
      <w:r>
        <w:rPr>
          <w:lang w:val="en-US"/>
        </w:rPr>
        <w:t xml:space="preserve"> </w:t>
      </w:r>
      <w:r w:rsidRPr="00E47119">
        <w:rPr>
          <w:lang w:val="en-US"/>
        </w:rPr>
        <w:t>= 11, 45.8%) with a range of career experience (29.2% &lt;5 years, 16.7% 5-20 years, 41.7% &gt;20 years) in rural and urban teaching sites. In the phase 3, 95.7% of respondents “agreed” or “strongly agreed” with the statement “As a whole the competencies form reasonable learning outcomes to guide our teaching, learning and feedback for residents during the COVID-19 pandemic</w:t>
      </w:r>
      <w:r>
        <w:rPr>
          <w:lang w:val="en-US"/>
        </w:rPr>
        <w:t>.</w:t>
      </w:r>
      <w:r w:rsidRPr="00E47119">
        <w:rPr>
          <w:lang w:val="en-US"/>
        </w:rPr>
        <w:t>”</w:t>
      </w:r>
    </w:p>
    <w:p w14:paraId="7DF24D12" w14:textId="42E13A17" w:rsidR="004D2A61" w:rsidRDefault="004D2A61" w:rsidP="00E47119">
      <w:pPr>
        <w:pStyle w:val="CMEJBodytext"/>
        <w:rPr>
          <w:lang w:val="en-US"/>
        </w:rPr>
        <w:sectPr w:rsidR="004D2A61" w:rsidSect="00D35AED">
          <w:type w:val="continuous"/>
          <w:pgSz w:w="12240" w:h="15840"/>
          <w:pgMar w:top="1440" w:right="1440" w:bottom="720" w:left="1440" w:header="720" w:footer="720" w:gutter="0"/>
          <w:cols w:num="2" w:space="720"/>
          <w:docGrid w:linePitch="360"/>
        </w:sectPr>
      </w:pPr>
    </w:p>
    <w:p w14:paraId="67F6B7F8" w14:textId="44079058" w:rsidR="00E47119" w:rsidRDefault="004D2A61" w:rsidP="004D2A61">
      <w:pPr>
        <w:pStyle w:val="CMEJBodytext"/>
        <w:spacing w:before="120"/>
        <w:rPr>
          <w:b/>
        </w:rPr>
      </w:pPr>
      <w:r>
        <w:rPr>
          <w:b/>
        </w:rPr>
        <w:br/>
      </w:r>
      <w:r w:rsidR="00E47119" w:rsidRPr="00E47119">
        <w:rPr>
          <w:b/>
        </w:rPr>
        <w:t xml:space="preserve">Table 2: Results of the </w:t>
      </w:r>
      <w:r w:rsidR="00E47119">
        <w:rPr>
          <w:b/>
        </w:rPr>
        <w:t>p</w:t>
      </w:r>
      <w:r w:rsidR="00E47119" w:rsidRPr="00E47119">
        <w:rPr>
          <w:b/>
        </w:rPr>
        <w:t>rocess</w:t>
      </w:r>
      <w:r w:rsidR="005F6EAF">
        <w:rPr>
          <w:b/>
        </w:rPr>
        <w:t xml:space="preserve"> </w:t>
      </w: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2210"/>
        <w:gridCol w:w="2835"/>
        <w:gridCol w:w="4424"/>
      </w:tblGrid>
      <w:tr w:rsidR="005F6EAF" w:rsidRPr="007B7811" w14:paraId="641DC67F" w14:textId="77777777" w:rsidTr="00047B5D">
        <w:tc>
          <w:tcPr>
            <w:tcW w:w="1167" w:type="pct"/>
            <w:tcBorders>
              <w:top w:val="single" w:sz="4" w:space="0" w:color="auto"/>
              <w:bottom w:val="single" w:sz="4" w:space="0" w:color="auto"/>
            </w:tcBorders>
            <w:shd w:val="clear" w:color="auto" w:fill="B8CCE4" w:themeFill="accent1" w:themeFillTint="66"/>
          </w:tcPr>
          <w:p w14:paraId="46E6F8B2" w14:textId="77777777" w:rsidR="005F6EAF" w:rsidRPr="007B7811" w:rsidRDefault="005F6EAF" w:rsidP="005F6EAF">
            <w:pPr>
              <w:pStyle w:val="CMEJBodytext"/>
              <w:spacing w:after="0"/>
              <w:jc w:val="left"/>
              <w:rPr>
                <w:sz w:val="15"/>
                <w:szCs w:val="15"/>
              </w:rPr>
            </w:pPr>
            <w:r w:rsidRPr="007B7811">
              <w:rPr>
                <w:sz w:val="15"/>
                <w:szCs w:val="15"/>
              </w:rPr>
              <w:t>Phase, # respondent reviewers</w:t>
            </w:r>
          </w:p>
        </w:tc>
        <w:tc>
          <w:tcPr>
            <w:tcW w:w="1497" w:type="pct"/>
            <w:tcBorders>
              <w:top w:val="single" w:sz="4" w:space="0" w:color="auto"/>
              <w:bottom w:val="single" w:sz="4" w:space="0" w:color="auto"/>
            </w:tcBorders>
            <w:shd w:val="clear" w:color="auto" w:fill="B8CCE4" w:themeFill="accent1" w:themeFillTint="66"/>
          </w:tcPr>
          <w:p w14:paraId="25DF955D" w14:textId="77777777" w:rsidR="005F6EAF" w:rsidRPr="007B7811" w:rsidRDefault="005F6EAF" w:rsidP="005F6EAF">
            <w:pPr>
              <w:pStyle w:val="CMEJBodytext"/>
              <w:spacing w:after="0"/>
              <w:jc w:val="left"/>
              <w:rPr>
                <w:sz w:val="15"/>
                <w:szCs w:val="15"/>
              </w:rPr>
            </w:pPr>
            <w:r w:rsidRPr="007B7811">
              <w:rPr>
                <w:sz w:val="15"/>
                <w:szCs w:val="15"/>
              </w:rPr>
              <w:t>Results</w:t>
            </w:r>
          </w:p>
        </w:tc>
        <w:tc>
          <w:tcPr>
            <w:tcW w:w="2336" w:type="pct"/>
            <w:tcBorders>
              <w:top w:val="single" w:sz="4" w:space="0" w:color="auto"/>
              <w:bottom w:val="single" w:sz="4" w:space="0" w:color="auto"/>
            </w:tcBorders>
            <w:shd w:val="clear" w:color="auto" w:fill="B8CCE4" w:themeFill="accent1" w:themeFillTint="66"/>
          </w:tcPr>
          <w:p w14:paraId="0D71DC51" w14:textId="77777777" w:rsidR="005F6EAF" w:rsidRPr="007B7811" w:rsidRDefault="005F6EAF" w:rsidP="005F6EAF">
            <w:pPr>
              <w:pStyle w:val="CMEJBodytext"/>
              <w:spacing w:after="0"/>
              <w:jc w:val="left"/>
              <w:rPr>
                <w:sz w:val="15"/>
                <w:szCs w:val="15"/>
              </w:rPr>
            </w:pPr>
            <w:r w:rsidRPr="007B7811">
              <w:rPr>
                <w:sz w:val="15"/>
                <w:szCs w:val="15"/>
              </w:rPr>
              <w:t xml:space="preserve">Comments </w:t>
            </w:r>
          </w:p>
        </w:tc>
      </w:tr>
      <w:tr w:rsidR="005F6EAF" w:rsidRPr="007B7811" w14:paraId="60A230E0" w14:textId="77777777" w:rsidTr="00047B5D">
        <w:tc>
          <w:tcPr>
            <w:tcW w:w="1167" w:type="pct"/>
            <w:tcBorders>
              <w:top w:val="single" w:sz="4" w:space="0" w:color="auto"/>
            </w:tcBorders>
          </w:tcPr>
          <w:p w14:paraId="6554E361" w14:textId="77777777" w:rsidR="005F6EAF" w:rsidRPr="007B7811" w:rsidRDefault="005F6EAF" w:rsidP="005F6EAF">
            <w:pPr>
              <w:pStyle w:val="CMEJBodytext"/>
              <w:jc w:val="left"/>
              <w:rPr>
                <w:sz w:val="15"/>
                <w:szCs w:val="15"/>
              </w:rPr>
            </w:pPr>
            <w:r w:rsidRPr="007B7811">
              <w:rPr>
                <w:sz w:val="15"/>
                <w:szCs w:val="15"/>
              </w:rPr>
              <w:t>Phase 1: ‘Straw Dog Creation’</w:t>
            </w:r>
          </w:p>
          <w:p w14:paraId="04A3FA00" w14:textId="77777777" w:rsidR="005F6EAF" w:rsidRPr="007B7811" w:rsidRDefault="005F6EAF" w:rsidP="005F6EAF">
            <w:pPr>
              <w:pStyle w:val="CMEJBodytext"/>
              <w:jc w:val="left"/>
              <w:rPr>
                <w:sz w:val="15"/>
                <w:szCs w:val="15"/>
              </w:rPr>
            </w:pPr>
            <w:r w:rsidRPr="007B7811">
              <w:rPr>
                <w:i/>
                <w:sz w:val="15"/>
                <w:szCs w:val="15"/>
              </w:rPr>
              <w:t>n</w:t>
            </w:r>
            <w:r w:rsidRPr="007B7811">
              <w:rPr>
                <w:sz w:val="15"/>
                <w:szCs w:val="15"/>
              </w:rPr>
              <w:t xml:space="preserve"> = 8</w:t>
            </w:r>
          </w:p>
        </w:tc>
        <w:tc>
          <w:tcPr>
            <w:tcW w:w="1497" w:type="pct"/>
            <w:tcBorders>
              <w:top w:val="single" w:sz="4" w:space="0" w:color="auto"/>
            </w:tcBorders>
          </w:tcPr>
          <w:p w14:paraId="21BA8BD9" w14:textId="77777777" w:rsidR="005F6EAF" w:rsidRPr="007B7811" w:rsidRDefault="005F6EAF" w:rsidP="00962710">
            <w:pPr>
              <w:pStyle w:val="CMEJBodytext"/>
              <w:numPr>
                <w:ilvl w:val="0"/>
                <w:numId w:val="7"/>
              </w:numPr>
              <w:spacing w:after="0"/>
              <w:ind w:left="414" w:hanging="357"/>
              <w:jc w:val="left"/>
              <w:rPr>
                <w:sz w:val="15"/>
                <w:szCs w:val="15"/>
              </w:rPr>
            </w:pPr>
            <w:r w:rsidRPr="007B7811">
              <w:rPr>
                <w:sz w:val="15"/>
                <w:szCs w:val="15"/>
              </w:rPr>
              <w:t xml:space="preserve">Existing competencies in our Department’s curriculum database were often not-specific enough to address the Covid-19 particular challenges </w:t>
            </w:r>
          </w:p>
          <w:p w14:paraId="0C93C001" w14:textId="77777777" w:rsidR="005F6EAF" w:rsidRPr="007B7811" w:rsidRDefault="005F6EAF" w:rsidP="00962710">
            <w:pPr>
              <w:pStyle w:val="CMEJBodytext"/>
              <w:numPr>
                <w:ilvl w:val="0"/>
                <w:numId w:val="7"/>
              </w:numPr>
              <w:spacing w:after="0"/>
              <w:ind w:left="414" w:hanging="357"/>
              <w:jc w:val="left"/>
              <w:rPr>
                <w:sz w:val="15"/>
                <w:szCs w:val="15"/>
              </w:rPr>
            </w:pPr>
            <w:r w:rsidRPr="007B7811">
              <w:rPr>
                <w:sz w:val="15"/>
                <w:szCs w:val="15"/>
              </w:rPr>
              <w:t>A rough list of existing competencies was adapted or created to address the new realities</w:t>
            </w:r>
          </w:p>
          <w:p w14:paraId="1B39945F" w14:textId="77777777" w:rsidR="005F6EAF" w:rsidRPr="007B7811" w:rsidRDefault="005F6EAF" w:rsidP="00962710">
            <w:pPr>
              <w:pStyle w:val="CMEJBodytext"/>
              <w:numPr>
                <w:ilvl w:val="0"/>
                <w:numId w:val="7"/>
              </w:numPr>
              <w:spacing w:after="0"/>
              <w:ind w:left="414" w:hanging="357"/>
              <w:jc w:val="left"/>
              <w:rPr>
                <w:sz w:val="15"/>
                <w:szCs w:val="15"/>
              </w:rPr>
            </w:pPr>
            <w:r w:rsidRPr="007B7811">
              <w:rPr>
                <w:sz w:val="15"/>
                <w:szCs w:val="15"/>
              </w:rPr>
              <w:t>Gaps related to all CanMEDS-FM roles especially the Professional, Health Advocate and FM-expert roles</w:t>
            </w:r>
          </w:p>
        </w:tc>
        <w:tc>
          <w:tcPr>
            <w:tcW w:w="2336" w:type="pct"/>
            <w:tcBorders>
              <w:top w:val="single" w:sz="4" w:space="0" w:color="auto"/>
            </w:tcBorders>
          </w:tcPr>
          <w:p w14:paraId="0AFDC839" w14:textId="77777777" w:rsidR="005F6EAF" w:rsidRPr="007B7811" w:rsidRDefault="005F6EAF" w:rsidP="005F6EAF">
            <w:pPr>
              <w:pStyle w:val="CMEJBodytext"/>
              <w:jc w:val="left"/>
              <w:rPr>
                <w:sz w:val="15"/>
                <w:szCs w:val="15"/>
              </w:rPr>
            </w:pPr>
            <w:r w:rsidRPr="007B7811">
              <w:rPr>
                <w:i/>
                <w:iCs/>
                <w:sz w:val="15"/>
                <w:szCs w:val="15"/>
              </w:rPr>
              <w:t>Clarification of project’s overall goal, to</w:t>
            </w:r>
            <w:r w:rsidRPr="007B7811">
              <w:rPr>
                <w:sz w:val="15"/>
                <w:szCs w:val="15"/>
              </w:rPr>
              <w:t xml:space="preserve">: </w:t>
            </w:r>
          </w:p>
          <w:p w14:paraId="44F6DFAA" w14:textId="77777777" w:rsidR="005F6EAF" w:rsidRPr="007B7811" w:rsidRDefault="005F6EAF" w:rsidP="002E0394">
            <w:pPr>
              <w:pStyle w:val="CMEJBodytext"/>
              <w:numPr>
                <w:ilvl w:val="0"/>
                <w:numId w:val="15"/>
              </w:numPr>
              <w:spacing w:after="0"/>
              <w:jc w:val="left"/>
              <w:rPr>
                <w:sz w:val="15"/>
                <w:szCs w:val="15"/>
              </w:rPr>
            </w:pPr>
            <w:r w:rsidRPr="007B7811">
              <w:rPr>
                <w:sz w:val="15"/>
                <w:szCs w:val="15"/>
              </w:rPr>
              <w:t>Define competencies for resident physicians related to the COVID-19 pandemic</w:t>
            </w:r>
          </w:p>
          <w:p w14:paraId="4DEF55FF" w14:textId="77777777" w:rsidR="005F6EAF" w:rsidRPr="007B7811" w:rsidRDefault="005F6EAF" w:rsidP="002E0394">
            <w:pPr>
              <w:pStyle w:val="CMEJBodytext"/>
              <w:numPr>
                <w:ilvl w:val="0"/>
                <w:numId w:val="15"/>
              </w:numPr>
              <w:spacing w:after="0"/>
              <w:jc w:val="left"/>
              <w:rPr>
                <w:sz w:val="15"/>
                <w:szCs w:val="15"/>
              </w:rPr>
            </w:pPr>
            <w:r w:rsidRPr="007B7811">
              <w:rPr>
                <w:sz w:val="15"/>
                <w:szCs w:val="15"/>
              </w:rPr>
              <w:t xml:space="preserve">which are clear, reasonable, and relevant throughout the Department’s many contexts and </w:t>
            </w:r>
          </w:p>
          <w:p w14:paraId="71C2FE49" w14:textId="77777777" w:rsidR="005F6EAF" w:rsidRPr="007B7811" w:rsidRDefault="005F6EAF" w:rsidP="002E0394">
            <w:pPr>
              <w:pStyle w:val="CMEJBodytext"/>
              <w:numPr>
                <w:ilvl w:val="0"/>
                <w:numId w:val="15"/>
              </w:numPr>
              <w:spacing w:after="0"/>
              <w:jc w:val="left"/>
              <w:rPr>
                <w:sz w:val="15"/>
                <w:szCs w:val="15"/>
              </w:rPr>
            </w:pPr>
            <w:r w:rsidRPr="007B7811">
              <w:rPr>
                <w:sz w:val="15"/>
                <w:szCs w:val="15"/>
              </w:rPr>
              <w:t>which can be used by faculty to guide teaching, learning and feedback</w:t>
            </w:r>
          </w:p>
        </w:tc>
      </w:tr>
      <w:tr w:rsidR="005F6EAF" w:rsidRPr="007B7811" w14:paraId="6EE87DDF" w14:textId="77777777" w:rsidTr="00047B5D">
        <w:trPr>
          <w:trHeight w:val="2963"/>
        </w:trPr>
        <w:tc>
          <w:tcPr>
            <w:tcW w:w="1167" w:type="pct"/>
          </w:tcPr>
          <w:p w14:paraId="4939F30A" w14:textId="77777777" w:rsidR="005F6EAF" w:rsidRPr="007B7811" w:rsidRDefault="005F6EAF" w:rsidP="005F6EAF">
            <w:pPr>
              <w:pStyle w:val="CMEJBodytext"/>
              <w:jc w:val="left"/>
              <w:rPr>
                <w:sz w:val="15"/>
                <w:szCs w:val="15"/>
              </w:rPr>
            </w:pPr>
            <w:r w:rsidRPr="007B7811">
              <w:rPr>
                <w:sz w:val="15"/>
                <w:szCs w:val="15"/>
              </w:rPr>
              <w:t xml:space="preserve">Phase 2: ‘Input &amp; Clarity check’ </w:t>
            </w:r>
          </w:p>
          <w:p w14:paraId="4F2DB587" w14:textId="77777777" w:rsidR="005F6EAF" w:rsidRPr="007B7811" w:rsidRDefault="005F6EAF" w:rsidP="005F6EAF">
            <w:pPr>
              <w:pStyle w:val="CMEJBodytext"/>
              <w:jc w:val="left"/>
              <w:rPr>
                <w:sz w:val="15"/>
                <w:szCs w:val="15"/>
              </w:rPr>
            </w:pPr>
            <w:r w:rsidRPr="007B7811">
              <w:rPr>
                <w:i/>
                <w:sz w:val="15"/>
                <w:szCs w:val="15"/>
              </w:rPr>
              <w:t>n</w:t>
            </w:r>
            <w:r w:rsidRPr="007B7811">
              <w:rPr>
                <w:sz w:val="15"/>
                <w:szCs w:val="15"/>
              </w:rPr>
              <w:t xml:space="preserve"> = 12 </w:t>
            </w:r>
          </w:p>
        </w:tc>
        <w:tc>
          <w:tcPr>
            <w:tcW w:w="1497" w:type="pct"/>
          </w:tcPr>
          <w:p w14:paraId="2799CF4A" w14:textId="77777777" w:rsidR="005F6EAF" w:rsidRPr="007B7811" w:rsidRDefault="005F6EAF" w:rsidP="00962710">
            <w:pPr>
              <w:pStyle w:val="CMEJBodytext"/>
              <w:numPr>
                <w:ilvl w:val="0"/>
                <w:numId w:val="8"/>
              </w:numPr>
              <w:spacing w:after="0"/>
              <w:ind w:left="414" w:hanging="357"/>
              <w:jc w:val="left"/>
              <w:rPr>
                <w:sz w:val="15"/>
                <w:szCs w:val="15"/>
              </w:rPr>
            </w:pPr>
            <w:r w:rsidRPr="007B7811">
              <w:rPr>
                <w:sz w:val="15"/>
                <w:szCs w:val="15"/>
              </w:rPr>
              <w:t>Competencies added, merged, line edited and deleted as directed by reviewers</w:t>
            </w:r>
          </w:p>
          <w:p w14:paraId="52B21C27" w14:textId="77777777" w:rsidR="005F6EAF" w:rsidRPr="007B7811" w:rsidRDefault="005F6EAF" w:rsidP="00962710">
            <w:pPr>
              <w:pStyle w:val="CMEJBodytext"/>
              <w:numPr>
                <w:ilvl w:val="0"/>
                <w:numId w:val="8"/>
              </w:numPr>
              <w:spacing w:after="0"/>
              <w:ind w:left="414" w:hanging="357"/>
              <w:jc w:val="left"/>
              <w:rPr>
                <w:sz w:val="15"/>
                <w:szCs w:val="15"/>
              </w:rPr>
            </w:pPr>
            <w:r w:rsidRPr="007B7811">
              <w:rPr>
                <w:sz w:val="15"/>
                <w:szCs w:val="15"/>
              </w:rPr>
              <w:t>Comment arbitration by two educational leaders from phase 1</w:t>
            </w:r>
          </w:p>
        </w:tc>
        <w:tc>
          <w:tcPr>
            <w:tcW w:w="2336" w:type="pct"/>
          </w:tcPr>
          <w:p w14:paraId="15EEEEF2" w14:textId="77777777" w:rsidR="005F6EAF" w:rsidRPr="007B7811" w:rsidRDefault="005F6EAF" w:rsidP="005F6EAF">
            <w:pPr>
              <w:pStyle w:val="CMEJBodytext"/>
              <w:jc w:val="left"/>
              <w:rPr>
                <w:sz w:val="15"/>
                <w:szCs w:val="15"/>
              </w:rPr>
            </w:pPr>
            <w:r w:rsidRPr="007B7811">
              <w:rPr>
                <w:i/>
                <w:iCs/>
                <w:sz w:val="15"/>
                <w:szCs w:val="15"/>
              </w:rPr>
              <w:t>Decisions made by the PG leaders clarified</w:t>
            </w:r>
            <w:r w:rsidRPr="007B7811">
              <w:rPr>
                <w:sz w:val="15"/>
                <w:szCs w:val="15"/>
              </w:rPr>
              <w:t>:</w:t>
            </w:r>
          </w:p>
          <w:p w14:paraId="0A51672D" w14:textId="77777777" w:rsidR="005F6EAF" w:rsidRPr="007B7811" w:rsidRDefault="005F6EAF" w:rsidP="002E0394">
            <w:pPr>
              <w:pStyle w:val="CMEJBodytext"/>
              <w:numPr>
                <w:ilvl w:val="0"/>
                <w:numId w:val="16"/>
              </w:numPr>
              <w:spacing w:after="0"/>
              <w:jc w:val="left"/>
              <w:rPr>
                <w:sz w:val="15"/>
                <w:szCs w:val="15"/>
              </w:rPr>
            </w:pPr>
            <w:r w:rsidRPr="007B7811">
              <w:rPr>
                <w:i/>
                <w:sz w:val="15"/>
                <w:szCs w:val="15"/>
              </w:rPr>
              <w:t>how competencies would be used</w:t>
            </w:r>
            <w:r w:rsidRPr="007B7811">
              <w:rPr>
                <w:sz w:val="15"/>
                <w:szCs w:val="15"/>
              </w:rPr>
              <w:t>: As optional ‘building blocks’ for teaching, learning and assessment. They represent language agreed upon by faculty and residents related to the current crisis, useful for planning educational curriculum, focussing teaching and learning, supporting learners and document attainment of specific competence during these unusual times</w:t>
            </w:r>
          </w:p>
          <w:p w14:paraId="6FEFD1BB" w14:textId="77777777" w:rsidR="005F6EAF" w:rsidRPr="007B7811" w:rsidRDefault="005F6EAF" w:rsidP="002E0394">
            <w:pPr>
              <w:pStyle w:val="CMEJBodytext"/>
              <w:numPr>
                <w:ilvl w:val="0"/>
                <w:numId w:val="16"/>
              </w:numPr>
              <w:spacing w:after="0"/>
              <w:jc w:val="left"/>
              <w:rPr>
                <w:sz w:val="15"/>
                <w:szCs w:val="15"/>
              </w:rPr>
            </w:pPr>
            <w:r w:rsidRPr="007B7811">
              <w:rPr>
                <w:i/>
                <w:sz w:val="15"/>
                <w:szCs w:val="15"/>
              </w:rPr>
              <w:t>how competencies would not be used</w:t>
            </w:r>
            <w:r w:rsidRPr="007B7811">
              <w:rPr>
                <w:sz w:val="15"/>
                <w:szCs w:val="15"/>
              </w:rPr>
              <w:t xml:space="preserve">: as barriers to residents graduating </w:t>
            </w:r>
          </w:p>
          <w:p w14:paraId="5E4DEF77" w14:textId="77777777" w:rsidR="005F6EAF" w:rsidRPr="007B7811" w:rsidRDefault="005F6EAF" w:rsidP="002E0394">
            <w:pPr>
              <w:pStyle w:val="CMEJBodytext"/>
              <w:numPr>
                <w:ilvl w:val="0"/>
                <w:numId w:val="16"/>
              </w:numPr>
              <w:spacing w:after="0"/>
              <w:jc w:val="left"/>
              <w:rPr>
                <w:sz w:val="15"/>
                <w:szCs w:val="15"/>
              </w:rPr>
            </w:pPr>
            <w:r w:rsidRPr="007B7811">
              <w:rPr>
                <w:i/>
                <w:sz w:val="15"/>
                <w:szCs w:val="15"/>
              </w:rPr>
              <w:t>how they would be assessed</w:t>
            </w:r>
            <w:r w:rsidRPr="007B7811">
              <w:rPr>
                <w:sz w:val="15"/>
                <w:szCs w:val="15"/>
              </w:rPr>
              <w:t xml:space="preserve">: No new assessment tools would be created – existing formative and summative tools would be used (Field Notes, end of rotation evaluations) </w:t>
            </w:r>
          </w:p>
        </w:tc>
      </w:tr>
      <w:tr w:rsidR="005F6EAF" w:rsidRPr="007B7811" w14:paraId="4DD4DDED" w14:textId="77777777" w:rsidTr="00047B5D">
        <w:tc>
          <w:tcPr>
            <w:tcW w:w="1167" w:type="pct"/>
          </w:tcPr>
          <w:p w14:paraId="6831C573" w14:textId="77777777" w:rsidR="005F6EAF" w:rsidRPr="007B7811" w:rsidRDefault="005F6EAF" w:rsidP="005F6EAF">
            <w:pPr>
              <w:pStyle w:val="CMEJBodytext"/>
              <w:jc w:val="left"/>
              <w:rPr>
                <w:sz w:val="15"/>
                <w:szCs w:val="15"/>
              </w:rPr>
            </w:pPr>
            <w:r w:rsidRPr="007B7811">
              <w:rPr>
                <w:sz w:val="15"/>
                <w:szCs w:val="15"/>
              </w:rPr>
              <w:t>Phase 3: ‘Broad Input and Dissemination’</w:t>
            </w:r>
          </w:p>
          <w:p w14:paraId="5870CD47" w14:textId="77777777" w:rsidR="005F6EAF" w:rsidRPr="007B7811" w:rsidRDefault="005F6EAF" w:rsidP="005F6EAF">
            <w:pPr>
              <w:pStyle w:val="CMEJBodytext"/>
              <w:jc w:val="left"/>
              <w:rPr>
                <w:sz w:val="15"/>
                <w:szCs w:val="15"/>
              </w:rPr>
            </w:pPr>
          </w:p>
          <w:p w14:paraId="7A800A56" w14:textId="77777777" w:rsidR="005F6EAF" w:rsidRPr="007B7811" w:rsidRDefault="005F6EAF" w:rsidP="005F6EAF">
            <w:pPr>
              <w:pStyle w:val="CMEJBodytext"/>
              <w:jc w:val="left"/>
              <w:rPr>
                <w:sz w:val="15"/>
                <w:szCs w:val="15"/>
              </w:rPr>
            </w:pPr>
            <w:r w:rsidRPr="007B7811">
              <w:rPr>
                <w:i/>
                <w:sz w:val="15"/>
                <w:szCs w:val="15"/>
              </w:rPr>
              <w:t>n</w:t>
            </w:r>
            <w:r w:rsidRPr="007B7811">
              <w:rPr>
                <w:sz w:val="15"/>
                <w:szCs w:val="15"/>
              </w:rPr>
              <w:t xml:space="preserve"> = 24</w:t>
            </w:r>
          </w:p>
        </w:tc>
        <w:tc>
          <w:tcPr>
            <w:tcW w:w="1497" w:type="pct"/>
          </w:tcPr>
          <w:p w14:paraId="1D197483" w14:textId="77777777" w:rsidR="005F6EAF" w:rsidRPr="007B7811" w:rsidRDefault="005F6EAF" w:rsidP="00962710">
            <w:pPr>
              <w:pStyle w:val="CMEJBodytext"/>
              <w:numPr>
                <w:ilvl w:val="0"/>
                <w:numId w:val="10"/>
              </w:numPr>
              <w:spacing w:after="0"/>
              <w:ind w:left="414" w:hanging="357"/>
              <w:jc w:val="left"/>
              <w:rPr>
                <w:sz w:val="15"/>
                <w:szCs w:val="15"/>
              </w:rPr>
            </w:pPr>
            <w:r w:rsidRPr="007B7811">
              <w:rPr>
                <w:sz w:val="15"/>
                <w:szCs w:val="15"/>
              </w:rPr>
              <w:t>A final list of 33 competencies created across all CanMEDS-FM roles including 8 related to the Professional roles, 7 related to the Health Advocate role, 6 to the Family Medicine Expert role, 3 related to the Communicator, Scholar, Collaborator, and Leader roles</w:t>
            </w:r>
          </w:p>
        </w:tc>
        <w:tc>
          <w:tcPr>
            <w:tcW w:w="2336" w:type="pct"/>
          </w:tcPr>
          <w:p w14:paraId="74979563" w14:textId="77777777" w:rsidR="005F6EAF" w:rsidRPr="007B7811" w:rsidRDefault="005F6EAF" w:rsidP="00962710">
            <w:pPr>
              <w:pStyle w:val="CMEJBodytext"/>
              <w:numPr>
                <w:ilvl w:val="0"/>
                <w:numId w:val="9"/>
              </w:numPr>
              <w:spacing w:after="0"/>
              <w:ind w:left="414" w:hanging="357"/>
              <w:jc w:val="left"/>
              <w:rPr>
                <w:sz w:val="15"/>
                <w:szCs w:val="15"/>
              </w:rPr>
            </w:pPr>
            <w:r w:rsidRPr="007B7811">
              <w:rPr>
                <w:sz w:val="15"/>
                <w:szCs w:val="15"/>
              </w:rPr>
              <w:t xml:space="preserve">Relevance to those impacted by this beyond resident and faculty leaders was sought </w:t>
            </w:r>
          </w:p>
          <w:p w14:paraId="764AE1F6" w14:textId="77777777" w:rsidR="005F6EAF" w:rsidRPr="007B7811" w:rsidRDefault="005F6EAF" w:rsidP="00962710">
            <w:pPr>
              <w:pStyle w:val="CMEJBodytext"/>
              <w:numPr>
                <w:ilvl w:val="0"/>
                <w:numId w:val="9"/>
              </w:numPr>
              <w:spacing w:after="0"/>
              <w:ind w:left="414" w:hanging="357"/>
              <w:jc w:val="left"/>
              <w:rPr>
                <w:sz w:val="15"/>
                <w:szCs w:val="15"/>
              </w:rPr>
            </w:pPr>
            <w:r w:rsidRPr="007B7811">
              <w:rPr>
                <w:sz w:val="15"/>
                <w:szCs w:val="15"/>
              </w:rPr>
              <w:t xml:space="preserve">PG directors across Canada articulated similar needs simultaneously </w:t>
            </w:r>
          </w:p>
          <w:p w14:paraId="67694DA7" w14:textId="1ED03496" w:rsidR="005F6EAF" w:rsidRPr="007B7811" w:rsidRDefault="005F6EAF" w:rsidP="00962710">
            <w:pPr>
              <w:pStyle w:val="CMEJBodytext"/>
              <w:numPr>
                <w:ilvl w:val="0"/>
                <w:numId w:val="9"/>
              </w:numPr>
              <w:spacing w:after="0"/>
              <w:ind w:left="414" w:hanging="357"/>
              <w:jc w:val="left"/>
              <w:rPr>
                <w:sz w:val="15"/>
                <w:szCs w:val="15"/>
              </w:rPr>
            </w:pPr>
            <w:r w:rsidRPr="007B7811">
              <w:rPr>
                <w:sz w:val="15"/>
                <w:szCs w:val="15"/>
              </w:rPr>
              <w:t>Sharing and co-development of this educational resource was planned to reduce duplication of efforts in multiple centres</w:t>
            </w:r>
          </w:p>
        </w:tc>
      </w:tr>
    </w:tbl>
    <w:p w14:paraId="1ABC5A75" w14:textId="77777777" w:rsidR="005F6EAF" w:rsidRDefault="005F6EAF" w:rsidP="00E47119">
      <w:pPr>
        <w:pStyle w:val="CMEJBodytext"/>
        <w:rPr>
          <w:b/>
        </w:rPr>
      </w:pPr>
    </w:p>
    <w:p w14:paraId="13FF4697" w14:textId="77777777" w:rsidR="005F6EAF" w:rsidRDefault="005F6EAF" w:rsidP="00E47119">
      <w:pPr>
        <w:pStyle w:val="CMEJBodytext"/>
        <w:rPr>
          <w:b/>
        </w:rPr>
        <w:sectPr w:rsidR="005F6EAF" w:rsidSect="005F6EAF">
          <w:type w:val="continuous"/>
          <w:pgSz w:w="12240" w:h="15840"/>
          <w:pgMar w:top="1440" w:right="1440" w:bottom="720" w:left="1440" w:header="720" w:footer="720" w:gutter="0"/>
          <w:cols w:space="720"/>
          <w:docGrid w:linePitch="360"/>
        </w:sectPr>
      </w:pPr>
    </w:p>
    <w:p w14:paraId="5EF4CF51" w14:textId="09DA5A47" w:rsidR="0043485B" w:rsidRDefault="0043485B" w:rsidP="00C933DA">
      <w:pPr>
        <w:pStyle w:val="CMEJMethodsResultsDiscussion"/>
      </w:pPr>
      <w:r w:rsidRPr="003C6DAE">
        <w:t>Discussion</w:t>
      </w:r>
    </w:p>
    <w:p w14:paraId="59EBF97B" w14:textId="60896C1D" w:rsidR="00E47119" w:rsidRPr="003C6DAE" w:rsidRDefault="00E47119" w:rsidP="00E47119">
      <w:pPr>
        <w:pStyle w:val="CMEJBodytext"/>
      </w:pPr>
      <w:r w:rsidRPr="00E47119">
        <w:rPr>
          <w:lang w:val="en-US"/>
        </w:rPr>
        <w:t>During a pandemic, clinical care is paramount, and consistent with principles of competency-based medical education</w:t>
      </w:r>
      <w:r w:rsidR="00A06351">
        <w:rPr>
          <w:lang w:val="en-US"/>
        </w:rPr>
        <w:t>.</w:t>
      </w:r>
      <w:r>
        <w:rPr>
          <w:vertAlign w:val="superscript"/>
          <w:lang w:val="en-US"/>
        </w:rPr>
        <w:t>8-12</w:t>
      </w:r>
      <w:r w:rsidRPr="00E47119">
        <w:rPr>
          <w:lang w:val="en-US"/>
        </w:rPr>
        <w:t xml:space="preserve"> </w:t>
      </w:r>
      <w:r w:rsidR="00A06351">
        <w:rPr>
          <w:lang w:val="en-US"/>
        </w:rPr>
        <w:t>W</w:t>
      </w:r>
      <w:r w:rsidRPr="00E47119">
        <w:rPr>
          <w:lang w:val="en-US"/>
        </w:rPr>
        <w:t xml:space="preserve">e aimed to analyze and capture the evolving professional, societal, patient and educational needs facing our widely distributed </w:t>
      </w:r>
      <w:r w:rsidRPr="00E47119">
        <w:rPr>
          <w:lang w:val="en-US"/>
        </w:rPr>
        <w:t xml:space="preserve">Department. The sweeping reality of the pandemic forced rapid educational change, urgent reflection on professional priorities, roles and identity, and creative adaptation of educational experiences to ensure educational relevance. The current project complements concurrent work by the College of Family Physicians of Canada, guiding virtual </w:t>
      </w:r>
      <w:r w:rsidRPr="00E47119">
        <w:rPr>
          <w:lang w:val="en-US"/>
        </w:rPr>
        <w:lastRenderedPageBreak/>
        <w:t>supervision of learners.</w:t>
      </w:r>
      <w:r>
        <w:rPr>
          <w:vertAlign w:val="superscript"/>
          <w:lang w:val="en-US"/>
        </w:rPr>
        <w:t>13</w:t>
      </w:r>
      <w:r w:rsidRPr="00E47119">
        <w:rPr>
          <w:lang w:val="en-US"/>
        </w:rPr>
        <w:t xml:space="preserve"> Rather than a ‘laundry list’ of new educational requirements, the competencies defined here are a resource to use in a wide range of educational contexts to guide teaching, learning and feedback. Although 44 residents and faculty contributed feedback and review of the competencies, the true response rate is undetermined, due to nature of the open invitation to provide input. Another limitation is that these competencies, while vetted by faculty from multiple clinical contexts are largely from a single Canadian university which may limit their immediate applicability in other contexts. The process decision to use existing feedback forms also limits the ease of tracking competency attainment.</w:t>
      </w:r>
    </w:p>
    <w:p w14:paraId="4766B812" w14:textId="77777777" w:rsidR="001E668E" w:rsidRPr="003C6DAE" w:rsidRDefault="001E668E" w:rsidP="00E47119">
      <w:pPr>
        <w:pStyle w:val="CMEJMethodsResultsDiscussion"/>
      </w:pPr>
      <w:r w:rsidRPr="003C6DAE">
        <w:t xml:space="preserve">Conclusion </w:t>
      </w:r>
    </w:p>
    <w:p w14:paraId="4C05F701" w14:textId="07CFD0AE" w:rsidR="00E47119" w:rsidRPr="00E47119" w:rsidRDefault="00E47119" w:rsidP="00E47119">
      <w:pPr>
        <w:pStyle w:val="CMEJBodytext"/>
      </w:pPr>
      <w:r w:rsidRPr="00E47119">
        <w:t>Our process aimed to rapidly engage a broad range of stakeholders to provide a focused educational response to a public health and medical education crisis. Next steps include a program evaluation, after the pandemic. A program evaluation approach will define and judge the success, shortcomings of the pandemic-related changes made across our complex program.</w:t>
      </w:r>
      <w:r>
        <w:rPr>
          <w:vertAlign w:val="superscript"/>
        </w:rPr>
        <w:t>14</w:t>
      </w:r>
      <w:r w:rsidRPr="00E47119">
        <w:t xml:space="preserve"> We will be able to judge the impact (intended and unintended) and merit of this rapid medical education pivot with clear questions (</w:t>
      </w:r>
      <w:proofErr w:type="spellStart"/>
      <w:r w:rsidRPr="00E47119">
        <w:t>eg</w:t>
      </w:r>
      <w:proofErr w:type="spellEnd"/>
      <w:r w:rsidRPr="00E47119">
        <w:t xml:space="preserve"> “Were the competencies attained?”  “Were they adequate?” “Are there unmet faculty and residents needs?”) answered through a review of existing data sources (</w:t>
      </w:r>
      <w:proofErr w:type="spellStart"/>
      <w:r w:rsidRPr="00E47119">
        <w:t>eg</w:t>
      </w:r>
      <w:proofErr w:type="spellEnd"/>
      <w:r w:rsidRPr="00E47119">
        <w:t xml:space="preserve"> formative and summative feedback in field notes and end-of-rotation evaluations), and new data sources (interviews, surveys). </w:t>
      </w:r>
    </w:p>
    <w:p w14:paraId="1BE1C2D9" w14:textId="77777777" w:rsidR="00E47119" w:rsidRPr="00E47119" w:rsidRDefault="00E47119" w:rsidP="00E47119">
      <w:pPr>
        <w:pStyle w:val="CMEJBodytext"/>
      </w:pPr>
      <w:r w:rsidRPr="00E47119">
        <w:t xml:space="preserve">Bringing together a wide range of educational stake-holders (departmental leaders, teachers, residents) from across the continuum of medical education (from undergraduate to postgraduate education and faculty development portfolios) produced an integrated approach to curriculum design, implementation and evaluation. This unprecedented collaboration across portfolios (and universities) was an unexpected outcome of this project, and serves as a model for engagement and cooperation during less turbulent times. </w:t>
      </w:r>
    </w:p>
    <w:p w14:paraId="24C849D2" w14:textId="09EC4F33" w:rsidR="00C933DA" w:rsidRPr="003C6DAE" w:rsidRDefault="00C933DA" w:rsidP="00C933DA">
      <w:pPr>
        <w:pStyle w:val="CMEJBodytext"/>
      </w:pPr>
      <w:r w:rsidRPr="003C6DAE">
        <w:t xml:space="preserve">Conflicts of interest: </w:t>
      </w:r>
      <w:r w:rsidR="00E47119" w:rsidRPr="00E47119">
        <w:rPr>
          <w:bCs/>
          <w:lang w:val="en-US"/>
        </w:rPr>
        <w:t>The authors deny any conflicts of interest, or financial or personal relationships that could potentially bias this work</w:t>
      </w:r>
      <w:r w:rsidR="00E47119">
        <w:rPr>
          <w:bCs/>
          <w:lang w:val="en-US"/>
        </w:rPr>
        <w:t>.</w:t>
      </w:r>
    </w:p>
    <w:p w14:paraId="340D2588" w14:textId="6C672AEA" w:rsidR="00E47119" w:rsidRPr="00E47119" w:rsidRDefault="001E668E" w:rsidP="00E47119">
      <w:pPr>
        <w:pStyle w:val="CMEJBodytext"/>
      </w:pPr>
      <w:r w:rsidRPr="003C6DAE">
        <w:t xml:space="preserve">Funding: </w:t>
      </w:r>
      <w:r w:rsidR="00E47119" w:rsidRPr="00E47119">
        <w:rPr>
          <w:bCs/>
          <w:lang w:val="en-US"/>
        </w:rPr>
        <w:t>This project received no specific funding.</w:t>
      </w:r>
    </w:p>
    <w:p w14:paraId="78782E50" w14:textId="46265863" w:rsidR="00E47119" w:rsidRPr="00E47119" w:rsidRDefault="00E47119" w:rsidP="00E47119">
      <w:pPr>
        <w:pStyle w:val="CMEJBodytext"/>
      </w:pPr>
      <w:r w:rsidRPr="00E47119">
        <w:t xml:space="preserve">Acknowledgements: Dr Laura Cummings R1, </w:t>
      </w:r>
      <w:proofErr w:type="spellStart"/>
      <w:r w:rsidRPr="00E47119">
        <w:t>Dr</w:t>
      </w:r>
      <w:proofErr w:type="spellEnd"/>
      <w:r w:rsidRPr="00E47119">
        <w:t xml:space="preserve"> Kate </w:t>
      </w:r>
      <w:proofErr w:type="spellStart"/>
      <w:r w:rsidRPr="00E47119">
        <w:t>Trebuss</w:t>
      </w:r>
      <w:proofErr w:type="spellEnd"/>
      <w:r w:rsidRPr="00E47119">
        <w:t xml:space="preserve"> R2, </w:t>
      </w:r>
      <w:proofErr w:type="spellStart"/>
      <w:r w:rsidRPr="00E47119">
        <w:t>Dr</w:t>
      </w:r>
      <w:proofErr w:type="spellEnd"/>
      <w:r w:rsidRPr="00E47119">
        <w:t xml:space="preserve"> Stephen Humphreys-Mahaffey R2, </w:t>
      </w:r>
      <w:proofErr w:type="spellStart"/>
      <w:r w:rsidRPr="00E47119">
        <w:t>Dr</w:t>
      </w:r>
      <w:proofErr w:type="spellEnd"/>
      <w:r w:rsidRPr="00E47119">
        <w:t xml:space="preserve"> Carol </w:t>
      </w:r>
      <w:proofErr w:type="gramStart"/>
      <w:r w:rsidRPr="00E47119">
        <w:t>Geller,,</w:t>
      </w:r>
      <w:proofErr w:type="gramEnd"/>
      <w:r w:rsidRPr="00E47119">
        <w:t xml:space="preserve"> </w:t>
      </w:r>
      <w:proofErr w:type="spellStart"/>
      <w:r w:rsidRPr="00E47119">
        <w:t>Dr</w:t>
      </w:r>
      <w:proofErr w:type="spellEnd"/>
      <w:r w:rsidRPr="00E47119">
        <w:t xml:space="preserve"> Alison Eyre,  </w:t>
      </w:r>
      <w:proofErr w:type="spellStart"/>
      <w:r w:rsidRPr="00E47119">
        <w:t>Dr</w:t>
      </w:r>
      <w:proofErr w:type="spellEnd"/>
      <w:r w:rsidRPr="00E47119">
        <w:t xml:space="preserve"> Lindsay Bradley,  </w:t>
      </w:r>
      <w:proofErr w:type="spellStart"/>
      <w:r w:rsidRPr="00E47119">
        <w:t>Dr</w:t>
      </w:r>
      <w:proofErr w:type="spellEnd"/>
      <w:r w:rsidRPr="00E47119">
        <w:t xml:space="preserve"> Michael Malek, </w:t>
      </w:r>
      <w:proofErr w:type="spellStart"/>
      <w:r w:rsidRPr="00E47119">
        <w:t>Dr</w:t>
      </w:r>
      <w:proofErr w:type="spellEnd"/>
      <w:r w:rsidRPr="00E47119">
        <w:t xml:space="preserve"> </w:t>
      </w:r>
      <w:proofErr w:type="spellStart"/>
      <w:r w:rsidRPr="00E47119">
        <w:t>Farhad</w:t>
      </w:r>
      <w:proofErr w:type="spellEnd"/>
      <w:r w:rsidRPr="00E47119">
        <w:t xml:space="preserve"> </w:t>
      </w:r>
      <w:proofErr w:type="spellStart"/>
      <w:r w:rsidRPr="00E47119">
        <w:t>Motamedi</w:t>
      </w:r>
      <w:proofErr w:type="spellEnd"/>
      <w:r w:rsidRPr="00E47119">
        <w:t xml:space="preserve">, </w:t>
      </w:r>
      <w:proofErr w:type="spellStart"/>
      <w:r w:rsidRPr="00E47119">
        <w:t>Dr</w:t>
      </w:r>
      <w:proofErr w:type="spellEnd"/>
      <w:r w:rsidRPr="00E47119">
        <w:t xml:space="preserve"> </w:t>
      </w:r>
      <w:proofErr w:type="spellStart"/>
      <w:r w:rsidRPr="00E47119">
        <w:t>Vikas</w:t>
      </w:r>
      <w:proofErr w:type="spellEnd"/>
      <w:r w:rsidRPr="00E47119">
        <w:t xml:space="preserve"> Bhagirath, </w:t>
      </w:r>
      <w:proofErr w:type="spellStart"/>
      <w:r w:rsidRPr="00E47119">
        <w:t>Dr</w:t>
      </w:r>
      <w:proofErr w:type="spellEnd"/>
      <w:r w:rsidRPr="00E47119">
        <w:t xml:space="preserve"> Richard </w:t>
      </w:r>
      <w:proofErr w:type="spellStart"/>
      <w:r w:rsidRPr="00E47119">
        <w:t>Waldolf</w:t>
      </w:r>
      <w:proofErr w:type="spellEnd"/>
      <w:r w:rsidRPr="00E47119">
        <w:t xml:space="preserve"> who all provided important edits and advice in the different phases of the project. Lynn </w:t>
      </w:r>
      <w:proofErr w:type="spellStart"/>
      <w:r w:rsidRPr="00E47119">
        <w:t>Chaaban</w:t>
      </w:r>
      <w:proofErr w:type="spellEnd"/>
      <w:r w:rsidRPr="00E47119">
        <w:t xml:space="preserve">, Rebecca Celestin and Kim </w:t>
      </w:r>
      <w:proofErr w:type="spellStart"/>
      <w:r w:rsidRPr="00E47119">
        <w:t>Rozon</w:t>
      </w:r>
      <w:proofErr w:type="spellEnd"/>
      <w:r w:rsidRPr="00E47119">
        <w:t xml:space="preserve"> administered the processes and created the surveys and arranged translation.  </w:t>
      </w:r>
    </w:p>
    <w:p w14:paraId="6A9A6BF4" w14:textId="278F0059" w:rsidR="001E668E" w:rsidRPr="003C6DAE" w:rsidRDefault="001E668E" w:rsidP="001E668E">
      <w:pPr>
        <w:pStyle w:val="CMEJBodytext"/>
      </w:pPr>
    </w:p>
    <w:p w14:paraId="61604230" w14:textId="0DE7B543" w:rsidR="00B30D12" w:rsidRDefault="0043485B" w:rsidP="00B30D12">
      <w:pPr>
        <w:spacing w:after="120" w:line="240" w:lineRule="auto"/>
        <w:rPr>
          <w:b/>
          <w:bCs/>
          <w:sz w:val="24"/>
        </w:rPr>
      </w:pPr>
      <w:r w:rsidRPr="003C6DAE">
        <w:rPr>
          <w:b/>
          <w:bCs/>
          <w:sz w:val="24"/>
        </w:rPr>
        <w:t>References</w:t>
      </w:r>
    </w:p>
    <w:p w14:paraId="577E3B72" w14:textId="3B6BCEEB" w:rsidR="00D86929" w:rsidRPr="00D86929" w:rsidRDefault="00D86929" w:rsidP="00962710">
      <w:pPr>
        <w:pStyle w:val="CMEJReferencesbody"/>
        <w:rPr>
          <w:lang w:val="en-US"/>
        </w:rPr>
      </w:pPr>
      <w:r w:rsidRPr="00D86929">
        <w:rPr>
          <w:lang w:val="en-US"/>
        </w:rPr>
        <w:t>MacDonald CJ, McKeen M, Wooltorton</w:t>
      </w:r>
      <w:r>
        <w:rPr>
          <w:lang w:val="en-US"/>
        </w:rPr>
        <w:t xml:space="preserve"> et al.</w:t>
      </w:r>
      <w:r w:rsidRPr="00D86929">
        <w:rPr>
          <w:lang w:val="en-US"/>
        </w:rPr>
        <w:t xml:space="preserve"> Striving for excellence: Developing a framework for the Triple C curriculum in family medicine education. </w:t>
      </w:r>
      <w:r w:rsidRPr="00D86929">
        <w:rPr>
          <w:i/>
          <w:iCs/>
          <w:lang w:val="en-US"/>
        </w:rPr>
        <w:t>Can</w:t>
      </w:r>
      <w:r w:rsidR="002E0394">
        <w:rPr>
          <w:i/>
          <w:iCs/>
          <w:lang w:val="en-US"/>
        </w:rPr>
        <w:t xml:space="preserve"> </w:t>
      </w:r>
      <w:r w:rsidRPr="00D86929">
        <w:rPr>
          <w:i/>
          <w:iCs/>
          <w:lang w:val="en-US"/>
        </w:rPr>
        <w:t>Fam Physician</w:t>
      </w:r>
      <w:r w:rsidRPr="00D86929">
        <w:rPr>
          <w:lang w:val="en-US"/>
        </w:rPr>
        <w:t xml:space="preserve">, </w:t>
      </w:r>
      <w:r>
        <w:rPr>
          <w:lang w:val="en-US"/>
        </w:rPr>
        <w:t xml:space="preserve">2012, </w:t>
      </w:r>
      <w:r w:rsidRPr="00D86929">
        <w:rPr>
          <w:i/>
          <w:iCs/>
          <w:lang w:val="en-US"/>
        </w:rPr>
        <w:t>58</w:t>
      </w:r>
      <w:r w:rsidRPr="00D86929">
        <w:rPr>
          <w:lang w:val="en-US"/>
        </w:rPr>
        <w:t>(10).</w:t>
      </w:r>
    </w:p>
    <w:p w14:paraId="20BB5710" w14:textId="3F16F509" w:rsidR="00D86929" w:rsidRPr="00D86929" w:rsidRDefault="00D86929" w:rsidP="00962710">
      <w:pPr>
        <w:pStyle w:val="CMEJReferencesbody"/>
        <w:rPr>
          <w:lang w:val="en-US"/>
        </w:rPr>
      </w:pPr>
      <w:r w:rsidRPr="00D86929">
        <w:rPr>
          <w:lang w:val="en-US"/>
        </w:rPr>
        <w:t xml:space="preserve">Thomas PA, Kern DE, Hughes MT, &amp; Chen BY. (Eds.). (2015). </w:t>
      </w:r>
      <w:r w:rsidRPr="00D86929">
        <w:rPr>
          <w:i/>
          <w:iCs/>
          <w:lang w:val="en-US"/>
        </w:rPr>
        <w:t xml:space="preserve">Curriculum </w:t>
      </w:r>
      <w:r>
        <w:rPr>
          <w:i/>
          <w:iCs/>
          <w:lang w:val="en-US"/>
        </w:rPr>
        <w:t>d</w:t>
      </w:r>
      <w:r w:rsidRPr="00D86929">
        <w:rPr>
          <w:i/>
          <w:iCs/>
          <w:lang w:val="en-US"/>
        </w:rPr>
        <w:t xml:space="preserve">evelopment for </w:t>
      </w:r>
      <w:r>
        <w:rPr>
          <w:i/>
          <w:iCs/>
          <w:lang w:val="en-US"/>
        </w:rPr>
        <w:t>m</w:t>
      </w:r>
      <w:r w:rsidRPr="00D86929">
        <w:rPr>
          <w:i/>
          <w:iCs/>
          <w:lang w:val="en-US"/>
        </w:rPr>
        <w:t xml:space="preserve">edical </w:t>
      </w:r>
      <w:r>
        <w:rPr>
          <w:i/>
          <w:iCs/>
          <w:lang w:val="en-US"/>
        </w:rPr>
        <w:t>e</w:t>
      </w:r>
      <w:r w:rsidRPr="00D86929">
        <w:rPr>
          <w:i/>
          <w:iCs/>
          <w:lang w:val="en-US"/>
        </w:rPr>
        <w:t xml:space="preserve">ducation: A </w:t>
      </w:r>
      <w:r>
        <w:rPr>
          <w:i/>
          <w:iCs/>
          <w:lang w:val="en-US"/>
        </w:rPr>
        <w:t>s</w:t>
      </w:r>
      <w:r w:rsidRPr="00D86929">
        <w:rPr>
          <w:i/>
          <w:iCs/>
          <w:lang w:val="en-US"/>
        </w:rPr>
        <w:t>ix-</w:t>
      </w:r>
      <w:r>
        <w:rPr>
          <w:i/>
          <w:iCs/>
          <w:lang w:val="en-US"/>
        </w:rPr>
        <w:t>s</w:t>
      </w:r>
      <w:r w:rsidRPr="00D86929">
        <w:rPr>
          <w:i/>
          <w:iCs/>
          <w:lang w:val="en-US"/>
        </w:rPr>
        <w:t xml:space="preserve">tep </w:t>
      </w:r>
      <w:r>
        <w:rPr>
          <w:i/>
          <w:iCs/>
          <w:lang w:val="en-US"/>
        </w:rPr>
        <w:t>a</w:t>
      </w:r>
      <w:r w:rsidRPr="00D86929">
        <w:rPr>
          <w:i/>
          <w:iCs/>
          <w:lang w:val="en-US"/>
        </w:rPr>
        <w:t>pproach</w:t>
      </w:r>
      <w:r w:rsidRPr="00D86929">
        <w:rPr>
          <w:lang w:val="en-US"/>
        </w:rPr>
        <w:t xml:space="preserve"> (Third Edit). Baltimore: Johns Hopkins University Press.</w:t>
      </w:r>
    </w:p>
    <w:p w14:paraId="4E07C1B3" w14:textId="15BFC0CC" w:rsidR="00D86929" w:rsidRPr="00D86929" w:rsidRDefault="00D86929" w:rsidP="00962710">
      <w:pPr>
        <w:pStyle w:val="CMEJReferencesbody"/>
        <w:rPr>
          <w:lang w:val="en-US"/>
        </w:rPr>
      </w:pPr>
      <w:r w:rsidRPr="00D86929">
        <w:rPr>
          <w:lang w:val="en-US"/>
        </w:rPr>
        <w:t xml:space="preserve">Frank JR, &amp; Danoff D. The CanMEDS initiative: Implementing an outcomes-based framework of physician competencies. </w:t>
      </w:r>
      <w:r w:rsidRPr="00D86929">
        <w:rPr>
          <w:i/>
          <w:iCs/>
          <w:lang w:val="en-US"/>
        </w:rPr>
        <w:t>Med Teach</w:t>
      </w:r>
      <w:r w:rsidRPr="00D86929">
        <w:rPr>
          <w:lang w:val="en-US"/>
        </w:rPr>
        <w:t xml:space="preserve">, </w:t>
      </w:r>
      <w:r>
        <w:rPr>
          <w:lang w:val="en-US"/>
        </w:rPr>
        <w:t xml:space="preserve">2007, </w:t>
      </w:r>
      <w:r w:rsidRPr="00D86929">
        <w:rPr>
          <w:i/>
          <w:iCs/>
          <w:lang w:val="en-US"/>
        </w:rPr>
        <w:t>29</w:t>
      </w:r>
      <w:r w:rsidRPr="00D86929">
        <w:rPr>
          <w:lang w:val="en-US"/>
        </w:rPr>
        <w:t xml:space="preserve">(7), 642–647. </w:t>
      </w:r>
      <w:hyperlink r:id="rId17" w:history="1">
        <w:r w:rsidRPr="00961ECF">
          <w:rPr>
            <w:rStyle w:val="Hyperlink"/>
            <w:lang w:val="en-US"/>
          </w:rPr>
          <w:t>https://doi.org/10.1080/01421590701746983</w:t>
        </w:r>
      </w:hyperlink>
      <w:r>
        <w:rPr>
          <w:lang w:val="en-US"/>
        </w:rPr>
        <w:t xml:space="preserve"> </w:t>
      </w:r>
    </w:p>
    <w:p w14:paraId="1A9ED568" w14:textId="68986B25" w:rsidR="00D86929" w:rsidRPr="007C5AB7" w:rsidRDefault="00D86929" w:rsidP="007C5AB7">
      <w:pPr>
        <w:pStyle w:val="CMEJReferencesbody"/>
        <w:rPr>
          <w:i/>
        </w:rPr>
      </w:pPr>
      <w:r w:rsidRPr="00D86929">
        <w:t xml:space="preserve">Whitehead </w:t>
      </w:r>
      <w:r>
        <w:t>C</w:t>
      </w:r>
      <w:r w:rsidRPr="00D86929">
        <w:t>R, Austin Z, Hodges BD. Flower power: The armoured expert in the CanMEDS competency framework</w:t>
      </w:r>
      <w:r w:rsidRPr="00D86929">
        <w:rPr>
          <w:i/>
        </w:rPr>
        <w:t xml:space="preserve">? </w:t>
      </w:r>
      <w:r w:rsidR="007C5AB7" w:rsidRPr="007C5AB7">
        <w:rPr>
          <w:i/>
        </w:rPr>
        <w:t>Adv Health Sci Educ</w:t>
      </w:r>
      <w:r w:rsidRPr="00D86929">
        <w:t>,</w:t>
      </w:r>
      <w:r>
        <w:t xml:space="preserve"> 2011,</w:t>
      </w:r>
      <w:r w:rsidRPr="00D86929">
        <w:t xml:space="preserve"> 16(5), 681-694. </w:t>
      </w:r>
      <w:hyperlink r:id="rId18" w:history="1">
        <w:r w:rsidRPr="00D86929">
          <w:rPr>
            <w:rStyle w:val="Hyperlink"/>
          </w:rPr>
          <w:t>https://doi.org/10.1007/s10459-011-9277-4</w:t>
        </w:r>
      </w:hyperlink>
    </w:p>
    <w:p w14:paraId="5A6DC767" w14:textId="1205864A" w:rsidR="00D86929" w:rsidRPr="00D86929" w:rsidRDefault="00D86929" w:rsidP="00962710">
      <w:pPr>
        <w:pStyle w:val="CMEJReferencesbody"/>
        <w:rPr>
          <w:lang w:val="en-US"/>
        </w:rPr>
      </w:pPr>
      <w:r w:rsidRPr="00D86929">
        <w:t xml:space="preserve">Shaw E, Oandasan I, Fowler N. </w:t>
      </w:r>
      <w:r w:rsidRPr="00D86929">
        <w:rPr>
          <w:i/>
        </w:rPr>
        <w:t>CanMEDS-Family Medicine 2017 A competency framework for family physicians across the continuum.</w:t>
      </w:r>
      <w:r w:rsidRPr="00D86929">
        <w:t xml:space="preserve"> Mississauga, ON. </w:t>
      </w:r>
      <w:r>
        <w:t xml:space="preserve">2017 </w:t>
      </w:r>
      <w:r w:rsidRPr="00D86929">
        <w:t xml:space="preserve">Retreived from </w:t>
      </w:r>
      <w:hyperlink r:id="rId19" w:history="1">
        <w:r w:rsidRPr="00D86929">
          <w:rPr>
            <w:rStyle w:val="Hyperlink"/>
            <w:lang w:val="en-US"/>
          </w:rPr>
          <w:t>http://www.cfpc.ca/uploadedFiles/Resources/Resource_Items/Health_Professionals/CanMEDS-Family-Medicine-2017-ENG.pdf</w:t>
        </w:r>
      </w:hyperlink>
      <w:r w:rsidRPr="00D86929">
        <w:rPr>
          <w:lang w:val="en-US"/>
        </w:rPr>
        <w:t xml:space="preserve"> [Accessed April 23 2020]</w:t>
      </w:r>
    </w:p>
    <w:p w14:paraId="2EDEDC2A" w14:textId="0AFD4D47" w:rsidR="00D86929" w:rsidRPr="00D86929" w:rsidRDefault="00D86929" w:rsidP="00962710">
      <w:pPr>
        <w:pStyle w:val="CMEJReferencesbody"/>
        <w:rPr>
          <w:lang w:val="en-US"/>
        </w:rPr>
      </w:pPr>
      <w:r w:rsidRPr="00D86929">
        <w:rPr>
          <w:lang w:val="en-US"/>
        </w:rPr>
        <w:t xml:space="preserve">Harden RM. Learning outcomes and instructional objectives: is there a difference? </w:t>
      </w:r>
      <w:r w:rsidRPr="00D86929">
        <w:rPr>
          <w:i/>
          <w:iCs/>
          <w:lang w:val="en-US"/>
        </w:rPr>
        <w:t>Med Teach</w:t>
      </w:r>
      <w:r w:rsidRPr="00D86929">
        <w:rPr>
          <w:lang w:val="en-US"/>
        </w:rPr>
        <w:t xml:space="preserve">, </w:t>
      </w:r>
      <w:r>
        <w:rPr>
          <w:lang w:val="en-US"/>
        </w:rPr>
        <w:t xml:space="preserve">2002, </w:t>
      </w:r>
      <w:r w:rsidRPr="00D86929">
        <w:rPr>
          <w:i/>
          <w:iCs/>
          <w:lang w:val="en-US"/>
        </w:rPr>
        <w:t>24</w:t>
      </w:r>
      <w:r w:rsidRPr="00D86929">
        <w:rPr>
          <w:lang w:val="en-US"/>
        </w:rPr>
        <w:t xml:space="preserve">(2), 151–155. </w:t>
      </w:r>
      <w:hyperlink r:id="rId20" w:history="1">
        <w:r w:rsidRPr="00961ECF">
          <w:rPr>
            <w:rStyle w:val="Hyperlink"/>
            <w:lang w:val="en-US"/>
          </w:rPr>
          <w:t>https://doi.org/10.1080/0142159022020687</w:t>
        </w:r>
      </w:hyperlink>
      <w:r>
        <w:rPr>
          <w:lang w:val="en-US"/>
        </w:rPr>
        <w:t xml:space="preserve"> </w:t>
      </w:r>
    </w:p>
    <w:p w14:paraId="36B0FDC4" w14:textId="402665CE" w:rsidR="00D86929" w:rsidRPr="00D86929" w:rsidRDefault="00D86929" w:rsidP="00962710">
      <w:pPr>
        <w:pStyle w:val="CMEJReferencesbody"/>
        <w:rPr>
          <w:lang w:val="en-US"/>
        </w:rPr>
      </w:pPr>
      <w:r w:rsidRPr="00D86929">
        <w:rPr>
          <w:lang w:val="en-US"/>
        </w:rPr>
        <w:t xml:space="preserve">Humphrey-Murto S, Varpio L, Gonsalves C, &amp; Wood TJ. Using consensus group methods such as Delphi and Nominal Group in medical education research. </w:t>
      </w:r>
      <w:r w:rsidRPr="00D86929">
        <w:rPr>
          <w:i/>
          <w:iCs/>
          <w:lang w:val="en-US"/>
        </w:rPr>
        <w:t>Med Teach</w:t>
      </w:r>
      <w:r w:rsidRPr="00D86929">
        <w:rPr>
          <w:lang w:val="en-US"/>
        </w:rPr>
        <w:t xml:space="preserve">, </w:t>
      </w:r>
      <w:r>
        <w:rPr>
          <w:lang w:val="en-US"/>
        </w:rPr>
        <w:t xml:space="preserve">2017, </w:t>
      </w:r>
      <w:r w:rsidRPr="00D86929">
        <w:rPr>
          <w:i/>
          <w:iCs/>
          <w:lang w:val="en-US"/>
        </w:rPr>
        <w:t>39</w:t>
      </w:r>
      <w:r w:rsidRPr="00D86929">
        <w:rPr>
          <w:lang w:val="en-US"/>
        </w:rPr>
        <w:t xml:space="preserve">(1), 14–19. </w:t>
      </w:r>
      <w:hyperlink r:id="rId21" w:history="1">
        <w:r w:rsidRPr="00D86929">
          <w:rPr>
            <w:rStyle w:val="Hyperlink"/>
            <w:lang w:val="en-US"/>
          </w:rPr>
          <w:t>https://doi.org/10.1080/0142159X.2017.1245856</w:t>
        </w:r>
      </w:hyperlink>
    </w:p>
    <w:p w14:paraId="3F041F1F" w14:textId="2420160B" w:rsidR="00D86929" w:rsidRPr="00D86929" w:rsidRDefault="00D86929" w:rsidP="00962710">
      <w:pPr>
        <w:pStyle w:val="CMEJReferencesbody"/>
        <w:rPr>
          <w:lang w:val="en-US"/>
        </w:rPr>
      </w:pPr>
      <w:r w:rsidRPr="00D86929">
        <w:rPr>
          <w:lang w:val="en-US"/>
        </w:rPr>
        <w:t>Saucie</w:t>
      </w:r>
      <w:r w:rsidR="0017465D">
        <w:rPr>
          <w:lang w:val="en-US"/>
        </w:rPr>
        <w:t>r</w:t>
      </w:r>
      <w:r w:rsidRPr="00D86929">
        <w:rPr>
          <w:lang w:val="en-US"/>
        </w:rPr>
        <w:t xml:space="preserve"> D, Shaw E, Kerr J </w:t>
      </w:r>
      <w:r w:rsidR="0017465D">
        <w:rPr>
          <w:lang w:val="en-US"/>
        </w:rPr>
        <w:t>et al.</w:t>
      </w:r>
      <w:r w:rsidRPr="00D86929">
        <w:rPr>
          <w:lang w:val="en-US"/>
        </w:rPr>
        <w:t xml:space="preserve"> Competency-based curriculum for family medicine. </w:t>
      </w:r>
      <w:r w:rsidRPr="00D86929">
        <w:rPr>
          <w:i/>
          <w:iCs/>
          <w:lang w:val="en-US"/>
        </w:rPr>
        <w:t>Can Fam Physician</w:t>
      </w:r>
      <w:r w:rsidRPr="00D86929">
        <w:rPr>
          <w:lang w:val="en-US"/>
        </w:rPr>
        <w:t xml:space="preserve">, </w:t>
      </w:r>
      <w:r w:rsidR="0017465D">
        <w:rPr>
          <w:lang w:val="en-US"/>
        </w:rPr>
        <w:t xml:space="preserve">2012, </w:t>
      </w:r>
      <w:r w:rsidRPr="00D86929">
        <w:rPr>
          <w:i/>
          <w:iCs/>
          <w:lang w:val="en-US"/>
        </w:rPr>
        <w:t>58</w:t>
      </w:r>
      <w:r w:rsidRPr="00D86929">
        <w:rPr>
          <w:lang w:val="en-US"/>
        </w:rPr>
        <w:t>, 707–708, e359-61</w:t>
      </w:r>
    </w:p>
    <w:p w14:paraId="1C2AB6B7" w14:textId="602D7CBC" w:rsidR="00D86929" w:rsidRPr="00D86929" w:rsidRDefault="00D86929" w:rsidP="00962710">
      <w:pPr>
        <w:pStyle w:val="CMEJReferencesbody"/>
        <w:rPr>
          <w:lang w:val="en-US"/>
        </w:rPr>
      </w:pPr>
      <w:r w:rsidRPr="00D86929">
        <w:rPr>
          <w:lang w:val="en-US"/>
        </w:rPr>
        <w:lastRenderedPageBreak/>
        <w:t xml:space="preserve">Albanese MA, Mejicano G, Mullan P, Kokotailo P, &amp; Gruppen L. Defining characteristics of educational competencies. </w:t>
      </w:r>
      <w:r w:rsidRPr="00D86929">
        <w:rPr>
          <w:i/>
          <w:iCs/>
          <w:lang w:val="en-US"/>
        </w:rPr>
        <w:t>Med Educ</w:t>
      </w:r>
      <w:r w:rsidRPr="00D86929">
        <w:rPr>
          <w:lang w:val="en-US"/>
        </w:rPr>
        <w:t xml:space="preserve">, </w:t>
      </w:r>
      <w:r>
        <w:rPr>
          <w:lang w:val="en-US"/>
        </w:rPr>
        <w:t xml:space="preserve">2008, </w:t>
      </w:r>
      <w:r w:rsidRPr="00D86929">
        <w:rPr>
          <w:i/>
          <w:iCs/>
          <w:lang w:val="en-US"/>
        </w:rPr>
        <w:t>42</w:t>
      </w:r>
      <w:r w:rsidRPr="00D86929">
        <w:rPr>
          <w:lang w:val="en-US"/>
        </w:rPr>
        <w:t xml:space="preserve">(3), 248–255. </w:t>
      </w:r>
      <w:hyperlink r:id="rId22" w:history="1">
        <w:r w:rsidRPr="00D86929">
          <w:rPr>
            <w:rStyle w:val="Hyperlink"/>
            <w:lang w:val="en-US"/>
          </w:rPr>
          <w:t>https://doi.org/10.1111/j.1365-2923.2007.02996.x</w:t>
        </w:r>
      </w:hyperlink>
    </w:p>
    <w:p w14:paraId="2DB044C7" w14:textId="452B5C6C" w:rsidR="00D86929" w:rsidRPr="00D86929" w:rsidRDefault="00D86929" w:rsidP="00962710">
      <w:pPr>
        <w:pStyle w:val="CMEJReferencesbody"/>
        <w:rPr>
          <w:lang w:val="en-US"/>
        </w:rPr>
      </w:pPr>
      <w:r w:rsidRPr="00D86929">
        <w:rPr>
          <w:lang w:val="en-US"/>
        </w:rPr>
        <w:t xml:space="preserve">Hodges BD, &amp; Kuper A. Theory and practice in the design and conduct of graduate medical education. </w:t>
      </w:r>
      <w:r w:rsidRPr="00D86929">
        <w:rPr>
          <w:i/>
          <w:iCs/>
          <w:lang w:val="en-US"/>
        </w:rPr>
        <w:t>Acad Med</w:t>
      </w:r>
      <w:r w:rsidRPr="00D86929">
        <w:rPr>
          <w:lang w:val="en-US"/>
        </w:rPr>
        <w:t xml:space="preserve">, </w:t>
      </w:r>
      <w:r>
        <w:rPr>
          <w:lang w:val="en-US"/>
        </w:rPr>
        <w:t xml:space="preserve">2012, </w:t>
      </w:r>
      <w:r w:rsidRPr="00D86929">
        <w:rPr>
          <w:i/>
          <w:iCs/>
          <w:lang w:val="en-US"/>
        </w:rPr>
        <w:t>87</w:t>
      </w:r>
      <w:r w:rsidRPr="00D86929">
        <w:rPr>
          <w:lang w:val="en-US"/>
        </w:rPr>
        <w:t xml:space="preserve">(1), 25–33. </w:t>
      </w:r>
      <w:hyperlink r:id="rId23" w:history="1">
        <w:r w:rsidRPr="00D86929">
          <w:rPr>
            <w:rStyle w:val="Hyperlink"/>
            <w:lang w:val="en-US"/>
          </w:rPr>
          <w:t>https://doi.org/10.1097/ACM.0b013e318238e069</w:t>
        </w:r>
      </w:hyperlink>
    </w:p>
    <w:p w14:paraId="5E4B45E8" w14:textId="3907CE8C" w:rsidR="00D86929" w:rsidRPr="00D86929" w:rsidRDefault="00D86929" w:rsidP="00962710">
      <w:pPr>
        <w:pStyle w:val="CMEJReferencesbody"/>
        <w:rPr>
          <w:lang w:val="en-US"/>
        </w:rPr>
      </w:pPr>
      <w:r w:rsidRPr="00D86929">
        <w:rPr>
          <w:lang w:val="en-US"/>
        </w:rPr>
        <w:t>Frank JR, Snell LS, Cate O.</w:t>
      </w:r>
      <w:r>
        <w:rPr>
          <w:lang w:val="en-US"/>
        </w:rPr>
        <w:t xml:space="preserve"> et al</w:t>
      </w:r>
      <w:r w:rsidRPr="00D86929">
        <w:rPr>
          <w:lang w:val="en-US"/>
        </w:rPr>
        <w:t xml:space="preserve">. Competency-based medical education: </w:t>
      </w:r>
      <w:r>
        <w:rPr>
          <w:lang w:val="en-US"/>
        </w:rPr>
        <w:t>T</w:t>
      </w:r>
      <w:r w:rsidRPr="00D86929">
        <w:rPr>
          <w:lang w:val="en-US"/>
        </w:rPr>
        <w:t xml:space="preserve">heory to practice. </w:t>
      </w:r>
      <w:r w:rsidRPr="00D86929">
        <w:rPr>
          <w:i/>
          <w:iCs/>
          <w:lang w:val="en-US"/>
        </w:rPr>
        <w:t>Med Teac</w:t>
      </w:r>
      <w:r w:rsidR="002E0394">
        <w:rPr>
          <w:i/>
          <w:iCs/>
          <w:lang w:val="en-US"/>
        </w:rPr>
        <w:t>h</w:t>
      </w:r>
      <w:r w:rsidRPr="00D86929">
        <w:rPr>
          <w:lang w:val="en-US"/>
        </w:rPr>
        <w:t xml:space="preserve">, </w:t>
      </w:r>
      <w:r>
        <w:rPr>
          <w:lang w:val="en-US"/>
        </w:rPr>
        <w:t xml:space="preserve">2010, </w:t>
      </w:r>
      <w:r w:rsidRPr="00D86929">
        <w:rPr>
          <w:i/>
          <w:iCs/>
          <w:lang w:val="en-US"/>
        </w:rPr>
        <w:t>32</w:t>
      </w:r>
      <w:r w:rsidRPr="00D86929">
        <w:rPr>
          <w:lang w:val="en-US"/>
        </w:rPr>
        <w:t xml:space="preserve">(8), 638–645. </w:t>
      </w:r>
      <w:hyperlink r:id="rId24" w:history="1">
        <w:r w:rsidRPr="00D86929">
          <w:rPr>
            <w:rStyle w:val="Hyperlink"/>
            <w:lang w:val="en-US"/>
          </w:rPr>
          <w:t>https://doi.org/10.3109/0142159X.2010.501190</w:t>
        </w:r>
      </w:hyperlink>
    </w:p>
    <w:p w14:paraId="08C5B74B" w14:textId="75F3F091" w:rsidR="00D86929" w:rsidRPr="00D86929" w:rsidRDefault="00D86929" w:rsidP="00962710">
      <w:pPr>
        <w:pStyle w:val="CMEJReferencesbody"/>
        <w:rPr>
          <w:lang w:val="en-US"/>
        </w:rPr>
      </w:pPr>
      <w:r w:rsidRPr="008C479D">
        <w:rPr>
          <w:lang w:val="es-ES"/>
        </w:rPr>
        <w:t xml:space="preserve">Carraccio C, Englander R, Van Melle E, et al.  </w:t>
      </w:r>
      <w:r w:rsidRPr="00D86929">
        <w:rPr>
          <w:lang w:val="en-US"/>
        </w:rPr>
        <w:t xml:space="preserve">Advancing Competency-Based Medical Education: A </w:t>
      </w:r>
      <w:r w:rsidRPr="00D86929">
        <w:rPr>
          <w:lang w:val="en-US"/>
        </w:rPr>
        <w:t xml:space="preserve">Charter for Clinician–Educators. </w:t>
      </w:r>
      <w:r w:rsidRPr="00D86929">
        <w:rPr>
          <w:i/>
          <w:iCs/>
          <w:lang w:val="en-US"/>
        </w:rPr>
        <w:t>Acad Med</w:t>
      </w:r>
      <w:r w:rsidRPr="00D86929">
        <w:rPr>
          <w:lang w:val="en-US"/>
        </w:rPr>
        <w:t xml:space="preserve">, </w:t>
      </w:r>
      <w:r>
        <w:rPr>
          <w:lang w:val="en-US"/>
        </w:rPr>
        <w:t xml:space="preserve">2016, </w:t>
      </w:r>
      <w:r w:rsidRPr="00D86929">
        <w:rPr>
          <w:i/>
          <w:iCs/>
          <w:lang w:val="en-US"/>
        </w:rPr>
        <w:t>91</w:t>
      </w:r>
      <w:r w:rsidRPr="00D86929">
        <w:rPr>
          <w:lang w:val="en-US"/>
        </w:rPr>
        <w:t xml:space="preserve">(5), 645–649. </w:t>
      </w:r>
      <w:hyperlink r:id="rId25" w:history="1">
        <w:r w:rsidRPr="00D86929">
          <w:rPr>
            <w:rStyle w:val="Hyperlink"/>
            <w:lang w:val="en-US"/>
          </w:rPr>
          <w:t>https://doi.org/10.1097/ACM.0000000000001048</w:t>
        </w:r>
      </w:hyperlink>
    </w:p>
    <w:p w14:paraId="24155BD7" w14:textId="06D2CD22" w:rsidR="00D86929" w:rsidRPr="00D86929" w:rsidRDefault="00D86929" w:rsidP="00962710">
      <w:pPr>
        <w:pStyle w:val="CMEJReferencesbody"/>
        <w:rPr>
          <w:lang w:val="en-US"/>
        </w:rPr>
      </w:pPr>
      <w:r w:rsidRPr="00D86929">
        <w:rPr>
          <w:lang w:val="en-US"/>
        </w:rPr>
        <w:t xml:space="preserve">Oandasan I, Cavett T, Singer A, &amp; Wolfrom B. </w:t>
      </w:r>
      <w:r w:rsidRPr="00D86929">
        <w:rPr>
          <w:i/>
          <w:iCs/>
          <w:lang w:val="en-US"/>
        </w:rPr>
        <w:t>Tips for Supervising Family Medicine Learners Providing Virtual Care</w:t>
      </w:r>
      <w:r w:rsidRPr="00D86929">
        <w:rPr>
          <w:lang w:val="en-US"/>
        </w:rPr>
        <w:t xml:space="preserve">. Missassauga, ON. </w:t>
      </w:r>
      <w:r>
        <w:rPr>
          <w:lang w:val="en-US"/>
        </w:rPr>
        <w:t xml:space="preserve">2020, </w:t>
      </w:r>
      <w:r w:rsidRPr="00D86929">
        <w:rPr>
          <w:lang w:val="en-US"/>
        </w:rPr>
        <w:t xml:space="preserve">Retrieved from: </w:t>
      </w:r>
      <w:hyperlink r:id="rId26" w:history="1">
        <w:r w:rsidRPr="00D86929">
          <w:rPr>
            <w:rStyle w:val="Hyperlink"/>
          </w:rPr>
          <w:t>https://portal.cfpc.ca/resourcesdocs/en/Supervision-of-FM-Learners-for-Virtual-Visits-final.pdf</w:t>
        </w:r>
      </w:hyperlink>
      <w:r w:rsidRPr="00D86929">
        <w:rPr>
          <w:lang w:val="en-US"/>
        </w:rPr>
        <w:t xml:space="preserve"> [Accessed April 23 2020]</w:t>
      </w:r>
    </w:p>
    <w:p w14:paraId="0D21747B" w14:textId="68373472" w:rsidR="00D86929" w:rsidRDefault="00D86929" w:rsidP="00962710">
      <w:pPr>
        <w:pStyle w:val="CMEJReferencesbody"/>
      </w:pPr>
      <w:r w:rsidRPr="00D86929">
        <w:t>Frye AW</w:t>
      </w:r>
      <w:r>
        <w:t>,</w:t>
      </w:r>
      <w:r w:rsidRPr="00D86929">
        <w:t xml:space="preserve"> Hemmer PA. Program evaluation models and related theories: AMEE Guide No. 67. </w:t>
      </w:r>
      <w:r w:rsidRPr="00D86929">
        <w:rPr>
          <w:i/>
        </w:rPr>
        <w:t>Med Teac</w:t>
      </w:r>
      <w:r w:rsidR="002E0394">
        <w:rPr>
          <w:i/>
        </w:rPr>
        <w:t>h</w:t>
      </w:r>
      <w:r w:rsidRPr="00D86929">
        <w:rPr>
          <w:i/>
        </w:rPr>
        <w:t>,</w:t>
      </w:r>
      <w:r w:rsidRPr="00D86929">
        <w:t xml:space="preserve"> </w:t>
      </w:r>
      <w:r>
        <w:t xml:space="preserve">2012, </w:t>
      </w:r>
      <w:r w:rsidRPr="00D86929">
        <w:t xml:space="preserve">34(5), </w:t>
      </w:r>
      <w:hyperlink r:id="rId27" w:history="1">
        <w:r w:rsidRPr="00961ECF">
          <w:rPr>
            <w:rStyle w:val="Hyperlink"/>
          </w:rPr>
          <w:t>https://doi.org/10.3109/0142159X.2012.668637</w:t>
        </w:r>
      </w:hyperlink>
      <w:r>
        <w:t xml:space="preserve"> </w:t>
      </w:r>
    </w:p>
    <w:p w14:paraId="3EE8EB5B" w14:textId="77777777" w:rsidR="00D35AED" w:rsidRDefault="00D35AED" w:rsidP="00121BD8">
      <w:pPr>
        <w:pStyle w:val="CMEJBodytext"/>
      </w:pPr>
    </w:p>
    <w:p w14:paraId="394A878B" w14:textId="225C02EC" w:rsidR="00C6798D" w:rsidRDefault="00C6798D" w:rsidP="00D86929">
      <w:pPr>
        <w:pStyle w:val="CMEJReferencesbody"/>
        <w:sectPr w:rsidR="00C6798D" w:rsidSect="00D35AED">
          <w:type w:val="continuous"/>
          <w:pgSz w:w="12240" w:h="15840"/>
          <w:pgMar w:top="1440" w:right="1440" w:bottom="720" w:left="1440" w:header="720" w:footer="720" w:gutter="0"/>
          <w:cols w:num="2" w:space="720"/>
          <w:docGrid w:linePitch="360"/>
        </w:sectPr>
      </w:pPr>
    </w:p>
    <w:p w14:paraId="6A4F5400" w14:textId="4590F027" w:rsidR="00F777EE" w:rsidRDefault="00F777EE" w:rsidP="00121BD8">
      <w:pPr>
        <w:pStyle w:val="CMEJBodytext"/>
      </w:pPr>
    </w:p>
    <w:p w14:paraId="0E542E9B" w14:textId="1EFAD498" w:rsidR="0017465D" w:rsidRPr="00F777EE" w:rsidRDefault="0017465D" w:rsidP="00F777EE">
      <w:pPr>
        <w:rPr>
          <w:lang w:val="en-CA" w:eastAsia="en-CA"/>
        </w:rPr>
      </w:pPr>
    </w:p>
    <w:p w14:paraId="6459D21F" w14:textId="0FECD1F2" w:rsidR="007F5B6E" w:rsidRPr="00F777EE" w:rsidRDefault="007F5B6E" w:rsidP="00F777EE">
      <w:pPr>
        <w:rPr>
          <w:lang w:val="en-CA" w:eastAsia="en-CA"/>
        </w:rPr>
      </w:pPr>
    </w:p>
    <w:sectPr w:rsidR="007F5B6E" w:rsidRPr="00F777EE" w:rsidSect="00B30D12">
      <w:type w:val="continuous"/>
      <w:pgSz w:w="12240" w:h="15840"/>
      <w:pgMar w:top="144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2A24" w16cex:dateUtc="2020-06-19T16: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BC7EC" w14:textId="77777777" w:rsidR="003952C8" w:rsidRDefault="003952C8" w:rsidP="005B122E">
      <w:pPr>
        <w:spacing w:after="0" w:line="240" w:lineRule="auto"/>
      </w:pPr>
      <w:r>
        <w:separator/>
      </w:r>
    </w:p>
  </w:endnote>
  <w:endnote w:type="continuationSeparator" w:id="0">
    <w:p w14:paraId="2030DF1F" w14:textId="77777777" w:rsidR="003952C8" w:rsidRDefault="003952C8" w:rsidP="005B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E3CB" w14:textId="77777777" w:rsidR="00B26BFE" w:rsidRDefault="00B26BFE" w:rsidP="007B78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10B59" w14:textId="77777777" w:rsidR="00B26BFE" w:rsidRDefault="00B26BFE" w:rsidP="0026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935584471"/>
      <w:docPartObj>
        <w:docPartGallery w:val="Page Numbers (Bottom of Page)"/>
        <w:docPartUnique/>
      </w:docPartObj>
    </w:sdtPr>
    <w:sdtEndPr>
      <w:rPr>
        <w:rStyle w:val="PageNumber"/>
      </w:rPr>
    </w:sdtEndPr>
    <w:sdtContent>
      <w:p w14:paraId="249F3003" w14:textId="74493378" w:rsidR="007B7811" w:rsidRPr="007B7811" w:rsidRDefault="007B7811" w:rsidP="00105A67">
        <w:pPr>
          <w:pStyle w:val="Footer"/>
          <w:framePr w:wrap="none" w:vAnchor="text" w:hAnchor="margin" w:xAlign="right" w:y="1"/>
          <w:rPr>
            <w:rStyle w:val="PageNumber"/>
            <w:sz w:val="20"/>
            <w:szCs w:val="20"/>
          </w:rPr>
        </w:pPr>
        <w:r w:rsidRPr="007B7811">
          <w:rPr>
            <w:rStyle w:val="PageNumber"/>
            <w:sz w:val="20"/>
            <w:szCs w:val="20"/>
          </w:rPr>
          <w:t>e</w:t>
        </w:r>
        <w:r w:rsidRPr="007B7811">
          <w:rPr>
            <w:rStyle w:val="PageNumber"/>
            <w:sz w:val="20"/>
            <w:szCs w:val="20"/>
          </w:rPr>
          <w:fldChar w:fldCharType="begin"/>
        </w:r>
        <w:r w:rsidRPr="007B7811">
          <w:rPr>
            <w:rStyle w:val="PageNumber"/>
            <w:sz w:val="20"/>
            <w:szCs w:val="20"/>
          </w:rPr>
          <w:instrText xml:space="preserve"> PAGE </w:instrText>
        </w:r>
        <w:r w:rsidRPr="007B7811">
          <w:rPr>
            <w:rStyle w:val="PageNumber"/>
            <w:sz w:val="20"/>
            <w:szCs w:val="20"/>
          </w:rPr>
          <w:fldChar w:fldCharType="separate"/>
        </w:r>
        <w:r w:rsidRPr="007B7811">
          <w:rPr>
            <w:rStyle w:val="PageNumber"/>
            <w:noProof/>
            <w:sz w:val="20"/>
            <w:szCs w:val="20"/>
          </w:rPr>
          <w:t>50</w:t>
        </w:r>
        <w:r w:rsidRPr="007B7811">
          <w:rPr>
            <w:rStyle w:val="PageNumber"/>
            <w:sz w:val="20"/>
            <w:szCs w:val="20"/>
          </w:rPr>
          <w:fldChar w:fldCharType="end"/>
        </w:r>
      </w:p>
    </w:sdtContent>
  </w:sdt>
  <w:p w14:paraId="559CFA44" w14:textId="77777777" w:rsidR="00B26BFE" w:rsidRPr="003D4306" w:rsidRDefault="00B26BFE" w:rsidP="00AD5DB8">
    <w:pPr>
      <w:pBdr>
        <w:bottom w:val="single" w:sz="4" w:space="1" w:color="auto"/>
      </w:pBdr>
      <w:tabs>
        <w:tab w:val="left" w:pos="9350"/>
      </w:tabs>
      <w:spacing w:after="120" w:line="266" w:lineRule="auto"/>
      <w:ind w:right="590"/>
      <w:jc w:val="both"/>
      <w:rPr>
        <w:rFonts w:asciiTheme="majorHAnsi" w:hAnsiTheme="majorHAnsi"/>
        <w:sz w:val="20"/>
        <w:szCs w:val="20"/>
      </w:rPr>
    </w:pPr>
  </w:p>
  <w:p w14:paraId="0C6C4825" w14:textId="5FB34136" w:rsidR="00B26BFE" w:rsidRPr="00AD5DB8" w:rsidRDefault="00B26BFE" w:rsidP="00AD5DB8">
    <w:pPr>
      <w:pStyle w:val="Footer"/>
      <w:rPr>
        <w:rFonts w:asciiTheme="majorHAnsi" w:hAnsiTheme="majorHAnsi"/>
        <w:sz w:val="20"/>
        <w:szCs w:val="20"/>
      </w:rPr>
    </w:pPr>
    <w:r w:rsidRPr="003C6DAE">
      <w:rPr>
        <w:rFonts w:asciiTheme="majorHAnsi" w:hAnsiTheme="majorHAnsi"/>
        <w:sz w:val="20"/>
        <w:szCs w:val="20"/>
      </w:rPr>
      <w:t xml:space="preserve">Correspondence: </w:t>
    </w:r>
    <w:r w:rsidRPr="00CD3D8F">
      <w:rPr>
        <w:rFonts w:asciiTheme="majorHAnsi" w:hAnsiTheme="majorHAnsi"/>
        <w:sz w:val="20"/>
        <w:szCs w:val="20"/>
        <w:lang w:val="en-CA"/>
      </w:rPr>
      <w:t>Eric Wooltorton, 210 Melrose Avenue, Ottawa, ON K1Y4K7</w:t>
    </w:r>
    <w:r>
      <w:rPr>
        <w:rFonts w:asciiTheme="majorHAnsi" w:hAnsiTheme="majorHAnsi"/>
        <w:sz w:val="20"/>
        <w:szCs w:val="20"/>
        <w:lang w:val="en-CA"/>
      </w:rPr>
      <w:t>; email:</w:t>
    </w:r>
    <w:r w:rsidRPr="00CD3D8F">
      <w:rPr>
        <w:rFonts w:asciiTheme="majorHAnsi" w:hAnsiTheme="majorHAnsi"/>
        <w:sz w:val="20"/>
        <w:szCs w:val="20"/>
        <w:lang w:val="en-CA"/>
      </w:rPr>
      <w:t xml:space="preserve"> </w:t>
    </w:r>
    <w:hyperlink r:id="rId1" w:history="1">
      <w:r w:rsidRPr="00CD3D8F">
        <w:rPr>
          <w:rStyle w:val="Hyperlink"/>
          <w:rFonts w:asciiTheme="majorHAnsi" w:hAnsiTheme="majorHAnsi"/>
          <w:sz w:val="20"/>
          <w:szCs w:val="20"/>
          <w:lang w:val="en-CA"/>
        </w:rPr>
        <w:t>eric.wooltorton@uottawa.ca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540490578"/>
      <w:docPartObj>
        <w:docPartGallery w:val="Page Numbers (Bottom of Page)"/>
        <w:docPartUnique/>
      </w:docPartObj>
    </w:sdtPr>
    <w:sdtEndPr>
      <w:rPr>
        <w:rStyle w:val="PageNumber"/>
      </w:rPr>
    </w:sdtEndPr>
    <w:sdtContent>
      <w:p w14:paraId="60FD0710" w14:textId="1F2A90C4" w:rsidR="007B7811" w:rsidRPr="007B7811" w:rsidRDefault="007B7811" w:rsidP="00105A67">
        <w:pPr>
          <w:pStyle w:val="Footer"/>
          <w:framePr w:wrap="none" w:vAnchor="text" w:hAnchor="margin" w:xAlign="right" w:y="1"/>
          <w:rPr>
            <w:rStyle w:val="PageNumber"/>
            <w:sz w:val="20"/>
            <w:szCs w:val="20"/>
          </w:rPr>
        </w:pPr>
        <w:r w:rsidRPr="007B7811">
          <w:rPr>
            <w:rStyle w:val="PageNumber"/>
            <w:sz w:val="20"/>
            <w:szCs w:val="20"/>
          </w:rPr>
          <w:t>e</w:t>
        </w:r>
        <w:r w:rsidRPr="007B7811">
          <w:rPr>
            <w:rStyle w:val="PageNumber"/>
            <w:sz w:val="20"/>
            <w:szCs w:val="20"/>
          </w:rPr>
          <w:fldChar w:fldCharType="begin"/>
        </w:r>
        <w:r w:rsidRPr="007B7811">
          <w:rPr>
            <w:rStyle w:val="PageNumber"/>
            <w:sz w:val="20"/>
            <w:szCs w:val="20"/>
          </w:rPr>
          <w:instrText xml:space="preserve"> PAGE </w:instrText>
        </w:r>
        <w:r w:rsidRPr="007B7811">
          <w:rPr>
            <w:rStyle w:val="PageNumber"/>
            <w:sz w:val="20"/>
            <w:szCs w:val="20"/>
          </w:rPr>
          <w:fldChar w:fldCharType="separate"/>
        </w:r>
        <w:r w:rsidRPr="007B7811">
          <w:rPr>
            <w:rStyle w:val="PageNumber"/>
            <w:noProof/>
            <w:sz w:val="20"/>
            <w:szCs w:val="20"/>
          </w:rPr>
          <w:t>27</w:t>
        </w:r>
        <w:r w:rsidRPr="007B7811">
          <w:rPr>
            <w:rStyle w:val="PageNumber"/>
            <w:sz w:val="20"/>
            <w:szCs w:val="20"/>
          </w:rPr>
          <w:fldChar w:fldCharType="end"/>
        </w:r>
      </w:p>
    </w:sdtContent>
  </w:sdt>
  <w:p w14:paraId="3E946B14" w14:textId="5EDCC6F0" w:rsidR="00B26BFE" w:rsidRPr="00AD5DB8" w:rsidRDefault="00B26BFE" w:rsidP="00266129">
    <w:pPr>
      <w:pStyle w:val="Footer"/>
      <w:ind w:right="360"/>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82081" w14:textId="77777777" w:rsidR="003952C8" w:rsidRDefault="003952C8" w:rsidP="005B122E">
      <w:pPr>
        <w:spacing w:after="0" w:line="240" w:lineRule="auto"/>
      </w:pPr>
      <w:r>
        <w:separator/>
      </w:r>
    </w:p>
  </w:footnote>
  <w:footnote w:type="continuationSeparator" w:id="0">
    <w:p w14:paraId="572FB3AF" w14:textId="77777777" w:rsidR="003952C8" w:rsidRDefault="003952C8" w:rsidP="005B1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73A0" w14:textId="7EF1B1D0" w:rsidR="00B26BFE" w:rsidRPr="0018055E" w:rsidRDefault="00B26BFE" w:rsidP="0018055E">
    <w:pPr>
      <w:spacing w:after="0" w:line="240" w:lineRule="auto"/>
      <w:contextualSpacing/>
      <w:rPr>
        <w:rFonts w:asciiTheme="minorHAnsi" w:eastAsia="Times New Roman" w:hAnsiTheme="minorHAnsi"/>
        <w:color w:val="17365D"/>
        <w:spacing w:val="5"/>
        <w:kern w:val="36"/>
      </w:rPr>
    </w:pPr>
    <w:r w:rsidRPr="005365D1">
      <w:rPr>
        <w:rFonts w:asciiTheme="minorHAnsi" w:eastAsia="Times New Roman" w:hAnsiTheme="minorHAnsi"/>
        <w:i/>
        <w:color w:val="17365D"/>
        <w:spacing w:val="5"/>
        <w:kern w:val="36"/>
      </w:rPr>
      <w:t>Canadian Medical Education Journal</w:t>
    </w:r>
    <w:r w:rsidRPr="005365D1">
      <w:rPr>
        <w:rFonts w:asciiTheme="minorHAnsi" w:eastAsia="Times New Roman" w:hAnsiTheme="minorHAnsi"/>
        <w:color w:val="17365D"/>
        <w:spacing w:val="5"/>
        <w:kern w:val="36"/>
      </w:rPr>
      <w:t xml:space="preserve"> 20</w:t>
    </w:r>
    <w:r>
      <w:rPr>
        <w:rFonts w:asciiTheme="minorHAnsi" w:eastAsia="Times New Roman" w:hAnsiTheme="minorHAnsi"/>
        <w:color w:val="17365D"/>
        <w:spacing w:val="5"/>
        <w:kern w:val="36"/>
      </w:rPr>
      <w:t>20</w:t>
    </w:r>
    <w:r w:rsidR="007B7811">
      <w:rPr>
        <w:rFonts w:asciiTheme="minorHAnsi" w:eastAsia="Times New Roman" w:hAnsiTheme="minorHAnsi"/>
        <w:color w:val="17365D"/>
        <w:spacing w:val="5"/>
        <w:kern w:val="36"/>
      </w:rPr>
      <w:t>, 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DDF"/>
    <w:multiLevelType w:val="hybridMultilevel"/>
    <w:tmpl w:val="1A9AE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E66"/>
    <w:multiLevelType w:val="hybridMultilevel"/>
    <w:tmpl w:val="3A0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571EC"/>
    <w:multiLevelType w:val="hybridMultilevel"/>
    <w:tmpl w:val="1302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33C45"/>
    <w:multiLevelType w:val="hybridMultilevel"/>
    <w:tmpl w:val="C1A20F6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25020906"/>
    <w:multiLevelType w:val="hybridMultilevel"/>
    <w:tmpl w:val="D5F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13AB8"/>
    <w:multiLevelType w:val="hybridMultilevel"/>
    <w:tmpl w:val="B76C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31952"/>
    <w:multiLevelType w:val="hybridMultilevel"/>
    <w:tmpl w:val="23887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A10F6"/>
    <w:multiLevelType w:val="hybridMultilevel"/>
    <w:tmpl w:val="2AA8EDD4"/>
    <w:lvl w:ilvl="0" w:tplc="CC705AAA">
      <w:start w:val="1"/>
      <w:numFmt w:val="bullet"/>
      <w:lvlText w:val=""/>
      <w:lvlJc w:val="left"/>
      <w:pPr>
        <w:ind w:left="567" w:hanging="39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813CD"/>
    <w:multiLevelType w:val="hybridMultilevel"/>
    <w:tmpl w:val="B676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821A2"/>
    <w:multiLevelType w:val="hybridMultilevel"/>
    <w:tmpl w:val="F8FC6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2419D"/>
    <w:multiLevelType w:val="hybridMultilevel"/>
    <w:tmpl w:val="E3A003A6"/>
    <w:lvl w:ilvl="0" w:tplc="23DE56F8">
      <w:start w:val="1"/>
      <w:numFmt w:val="bullet"/>
      <w:lvlText w:val=""/>
      <w:lvlJc w:val="left"/>
      <w:pPr>
        <w:ind w:left="567" w:hanging="39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97064"/>
    <w:multiLevelType w:val="hybridMultilevel"/>
    <w:tmpl w:val="0B4A619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6272798A"/>
    <w:multiLevelType w:val="hybridMultilevel"/>
    <w:tmpl w:val="797E65F4"/>
    <w:lvl w:ilvl="0" w:tplc="135E4454">
      <w:start w:val="1"/>
      <w:numFmt w:val="bullet"/>
      <w:lvlText w:val=""/>
      <w:lvlJc w:val="left"/>
      <w:pPr>
        <w:ind w:left="567"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7355D"/>
    <w:multiLevelType w:val="hybridMultilevel"/>
    <w:tmpl w:val="552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976F0"/>
    <w:multiLevelType w:val="hybridMultilevel"/>
    <w:tmpl w:val="A3300F96"/>
    <w:lvl w:ilvl="0" w:tplc="6172E420">
      <w:start w:val="1"/>
      <w:numFmt w:val="decimal"/>
      <w:pStyle w:val="CMEJReferencesbody"/>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16D25"/>
    <w:multiLevelType w:val="hybridMultilevel"/>
    <w:tmpl w:val="EDA21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5"/>
  </w:num>
  <w:num w:numId="4">
    <w:abstractNumId w:val="7"/>
  </w:num>
  <w:num w:numId="5">
    <w:abstractNumId w:val="12"/>
  </w:num>
  <w:num w:numId="6">
    <w:abstractNumId w:val="10"/>
  </w:num>
  <w:num w:numId="7">
    <w:abstractNumId w:val="2"/>
  </w:num>
  <w:num w:numId="8">
    <w:abstractNumId w:val="4"/>
  </w:num>
  <w:num w:numId="9">
    <w:abstractNumId w:val="13"/>
  </w:num>
  <w:num w:numId="10">
    <w:abstractNumId w:val="8"/>
  </w:num>
  <w:num w:numId="11">
    <w:abstractNumId w:val="6"/>
  </w:num>
  <w:num w:numId="12">
    <w:abstractNumId w:val="9"/>
  </w:num>
  <w:num w:numId="13">
    <w:abstractNumId w:val="15"/>
  </w:num>
  <w:num w:numId="14">
    <w:abstractNumId w:val="0"/>
  </w:num>
  <w:num w:numId="15">
    <w:abstractNumId w:val="11"/>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fr-CA" w:vendorID="64" w:dllVersion="6" w:nlCheck="1" w:checkStyle="0"/>
  <w:activeWritingStyle w:appName="MSWord" w:lang="fr-FR"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s-ES" w:vendorID="64" w:dllVersion="0" w:nlCheck="1" w:checkStyle="0"/>
  <w:activeWritingStyle w:appName="MSWord" w:lang="fr-FR" w:vendorID="64" w:dllVersion="6" w:nlCheck="1" w:checkStyle="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454"/>
    <w:rsid w:val="00000729"/>
    <w:rsid w:val="000032B0"/>
    <w:rsid w:val="0001784F"/>
    <w:rsid w:val="00031272"/>
    <w:rsid w:val="00033DC4"/>
    <w:rsid w:val="000342EB"/>
    <w:rsid w:val="0004023D"/>
    <w:rsid w:val="00047B5D"/>
    <w:rsid w:val="00050355"/>
    <w:rsid w:val="0005397F"/>
    <w:rsid w:val="00061FC9"/>
    <w:rsid w:val="00064E94"/>
    <w:rsid w:val="00065970"/>
    <w:rsid w:val="00081C24"/>
    <w:rsid w:val="00091340"/>
    <w:rsid w:val="000A1B4B"/>
    <w:rsid w:val="000A778C"/>
    <w:rsid w:val="000B7CF0"/>
    <w:rsid w:val="000C4B85"/>
    <w:rsid w:val="000D389C"/>
    <w:rsid w:val="000D56C6"/>
    <w:rsid w:val="000E2BA8"/>
    <w:rsid w:val="000E5F05"/>
    <w:rsid w:val="000F6736"/>
    <w:rsid w:val="00104B58"/>
    <w:rsid w:val="00117E66"/>
    <w:rsid w:val="00121BD8"/>
    <w:rsid w:val="00147836"/>
    <w:rsid w:val="00147E2F"/>
    <w:rsid w:val="00147FC7"/>
    <w:rsid w:val="001562A4"/>
    <w:rsid w:val="00156508"/>
    <w:rsid w:val="00160239"/>
    <w:rsid w:val="0017006B"/>
    <w:rsid w:val="0017465D"/>
    <w:rsid w:val="00176C74"/>
    <w:rsid w:val="0018055E"/>
    <w:rsid w:val="00185CEC"/>
    <w:rsid w:val="001919B9"/>
    <w:rsid w:val="001A44FE"/>
    <w:rsid w:val="001B32C4"/>
    <w:rsid w:val="001B728D"/>
    <w:rsid w:val="001C1FE4"/>
    <w:rsid w:val="001E1761"/>
    <w:rsid w:val="001E668E"/>
    <w:rsid w:val="00201304"/>
    <w:rsid w:val="00201760"/>
    <w:rsid w:val="00203377"/>
    <w:rsid w:val="00211E7C"/>
    <w:rsid w:val="00215533"/>
    <w:rsid w:val="00220909"/>
    <w:rsid w:val="00246445"/>
    <w:rsid w:val="00250E0E"/>
    <w:rsid w:val="00252CDA"/>
    <w:rsid w:val="00263F55"/>
    <w:rsid w:val="00264AB5"/>
    <w:rsid w:val="00266129"/>
    <w:rsid w:val="0027759D"/>
    <w:rsid w:val="00286009"/>
    <w:rsid w:val="00293838"/>
    <w:rsid w:val="00293BEA"/>
    <w:rsid w:val="00294954"/>
    <w:rsid w:val="002A105B"/>
    <w:rsid w:val="002A3BAB"/>
    <w:rsid w:val="002A7815"/>
    <w:rsid w:val="002B08E2"/>
    <w:rsid w:val="002B268E"/>
    <w:rsid w:val="002B61FA"/>
    <w:rsid w:val="002E0394"/>
    <w:rsid w:val="002E1570"/>
    <w:rsid w:val="002E6C0C"/>
    <w:rsid w:val="002F09ED"/>
    <w:rsid w:val="00302B6D"/>
    <w:rsid w:val="00306EF8"/>
    <w:rsid w:val="00324367"/>
    <w:rsid w:val="003265F0"/>
    <w:rsid w:val="0033784B"/>
    <w:rsid w:val="00337945"/>
    <w:rsid w:val="00377E51"/>
    <w:rsid w:val="00387083"/>
    <w:rsid w:val="003952C8"/>
    <w:rsid w:val="003A3B97"/>
    <w:rsid w:val="003B207E"/>
    <w:rsid w:val="003B42BA"/>
    <w:rsid w:val="003B4E30"/>
    <w:rsid w:val="003C1647"/>
    <w:rsid w:val="003C2575"/>
    <w:rsid w:val="003C6DAE"/>
    <w:rsid w:val="003E3FCA"/>
    <w:rsid w:val="003E4633"/>
    <w:rsid w:val="003F52A7"/>
    <w:rsid w:val="003F60A5"/>
    <w:rsid w:val="004001F7"/>
    <w:rsid w:val="00410440"/>
    <w:rsid w:val="004115C7"/>
    <w:rsid w:val="00414521"/>
    <w:rsid w:val="00415A18"/>
    <w:rsid w:val="00416FDE"/>
    <w:rsid w:val="00423957"/>
    <w:rsid w:val="0042706E"/>
    <w:rsid w:val="00431A45"/>
    <w:rsid w:val="004337F8"/>
    <w:rsid w:val="0043485B"/>
    <w:rsid w:val="0044528A"/>
    <w:rsid w:val="004464DD"/>
    <w:rsid w:val="00450386"/>
    <w:rsid w:val="00451726"/>
    <w:rsid w:val="00454B44"/>
    <w:rsid w:val="004550D7"/>
    <w:rsid w:val="00456643"/>
    <w:rsid w:val="0046676F"/>
    <w:rsid w:val="004670BA"/>
    <w:rsid w:val="00471E62"/>
    <w:rsid w:val="004739A9"/>
    <w:rsid w:val="00475EA2"/>
    <w:rsid w:val="00484698"/>
    <w:rsid w:val="00485B11"/>
    <w:rsid w:val="004A094A"/>
    <w:rsid w:val="004A498E"/>
    <w:rsid w:val="004B0620"/>
    <w:rsid w:val="004B45E8"/>
    <w:rsid w:val="004B796B"/>
    <w:rsid w:val="004D1219"/>
    <w:rsid w:val="004D2A61"/>
    <w:rsid w:val="004D3667"/>
    <w:rsid w:val="004E4D96"/>
    <w:rsid w:val="004F0507"/>
    <w:rsid w:val="00500E54"/>
    <w:rsid w:val="0050508B"/>
    <w:rsid w:val="00512F16"/>
    <w:rsid w:val="005219BF"/>
    <w:rsid w:val="005236E1"/>
    <w:rsid w:val="005365D1"/>
    <w:rsid w:val="0054442C"/>
    <w:rsid w:val="00545CFA"/>
    <w:rsid w:val="0055351A"/>
    <w:rsid w:val="00555814"/>
    <w:rsid w:val="00557C26"/>
    <w:rsid w:val="00563083"/>
    <w:rsid w:val="00575296"/>
    <w:rsid w:val="005A2EB7"/>
    <w:rsid w:val="005B03EA"/>
    <w:rsid w:val="005B122E"/>
    <w:rsid w:val="005E3871"/>
    <w:rsid w:val="005E5901"/>
    <w:rsid w:val="005E613D"/>
    <w:rsid w:val="005F3AC6"/>
    <w:rsid w:val="005F6EAF"/>
    <w:rsid w:val="00612DB7"/>
    <w:rsid w:val="00617B9E"/>
    <w:rsid w:val="00645645"/>
    <w:rsid w:val="00653B57"/>
    <w:rsid w:val="00667AD5"/>
    <w:rsid w:val="00673679"/>
    <w:rsid w:val="0069276F"/>
    <w:rsid w:val="00694996"/>
    <w:rsid w:val="006A159F"/>
    <w:rsid w:val="006C6E90"/>
    <w:rsid w:val="006C7A9C"/>
    <w:rsid w:val="006D2789"/>
    <w:rsid w:val="006D2DD0"/>
    <w:rsid w:val="006D2EEA"/>
    <w:rsid w:val="006D5437"/>
    <w:rsid w:val="006E5716"/>
    <w:rsid w:val="006F0882"/>
    <w:rsid w:val="006F0F80"/>
    <w:rsid w:val="006F10DD"/>
    <w:rsid w:val="006F6944"/>
    <w:rsid w:val="006F7628"/>
    <w:rsid w:val="00714E98"/>
    <w:rsid w:val="00726CA9"/>
    <w:rsid w:val="007422D1"/>
    <w:rsid w:val="0074249B"/>
    <w:rsid w:val="0074285C"/>
    <w:rsid w:val="007638AD"/>
    <w:rsid w:val="00766900"/>
    <w:rsid w:val="00772423"/>
    <w:rsid w:val="0078040B"/>
    <w:rsid w:val="00796213"/>
    <w:rsid w:val="007A4F23"/>
    <w:rsid w:val="007B17E8"/>
    <w:rsid w:val="007B7811"/>
    <w:rsid w:val="007C5AB7"/>
    <w:rsid w:val="007D52BA"/>
    <w:rsid w:val="007F1D66"/>
    <w:rsid w:val="007F5B6E"/>
    <w:rsid w:val="007F6686"/>
    <w:rsid w:val="00801A6A"/>
    <w:rsid w:val="00803852"/>
    <w:rsid w:val="00812C86"/>
    <w:rsid w:val="00814263"/>
    <w:rsid w:val="00822493"/>
    <w:rsid w:val="00823DD0"/>
    <w:rsid w:val="008255CD"/>
    <w:rsid w:val="0083128F"/>
    <w:rsid w:val="00837F34"/>
    <w:rsid w:val="00844F4F"/>
    <w:rsid w:val="0084683E"/>
    <w:rsid w:val="00860ADB"/>
    <w:rsid w:val="008702A1"/>
    <w:rsid w:val="008726FE"/>
    <w:rsid w:val="0088114D"/>
    <w:rsid w:val="00886E9D"/>
    <w:rsid w:val="0088737E"/>
    <w:rsid w:val="00891F7F"/>
    <w:rsid w:val="008A58DC"/>
    <w:rsid w:val="008B4BC2"/>
    <w:rsid w:val="008B6F68"/>
    <w:rsid w:val="008B778D"/>
    <w:rsid w:val="008C0F3D"/>
    <w:rsid w:val="008C479D"/>
    <w:rsid w:val="008F007B"/>
    <w:rsid w:val="008F7176"/>
    <w:rsid w:val="008F77BF"/>
    <w:rsid w:val="008F7A34"/>
    <w:rsid w:val="009077E4"/>
    <w:rsid w:val="009109EB"/>
    <w:rsid w:val="00921F25"/>
    <w:rsid w:val="00927631"/>
    <w:rsid w:val="00932357"/>
    <w:rsid w:val="00936184"/>
    <w:rsid w:val="00957CAC"/>
    <w:rsid w:val="00962710"/>
    <w:rsid w:val="00965892"/>
    <w:rsid w:val="00983651"/>
    <w:rsid w:val="0098730A"/>
    <w:rsid w:val="009A1D70"/>
    <w:rsid w:val="009A2DEE"/>
    <w:rsid w:val="009B1B5B"/>
    <w:rsid w:val="009B1E05"/>
    <w:rsid w:val="009B30B0"/>
    <w:rsid w:val="009B7704"/>
    <w:rsid w:val="009C1E0F"/>
    <w:rsid w:val="009D0FDC"/>
    <w:rsid w:val="009E4362"/>
    <w:rsid w:val="009F0454"/>
    <w:rsid w:val="00A0034E"/>
    <w:rsid w:val="00A06351"/>
    <w:rsid w:val="00A063EB"/>
    <w:rsid w:val="00A13D8B"/>
    <w:rsid w:val="00A178C5"/>
    <w:rsid w:val="00A21AE9"/>
    <w:rsid w:val="00A3310F"/>
    <w:rsid w:val="00A60595"/>
    <w:rsid w:val="00A72281"/>
    <w:rsid w:val="00A76CE7"/>
    <w:rsid w:val="00A77359"/>
    <w:rsid w:val="00A838DA"/>
    <w:rsid w:val="00A856F6"/>
    <w:rsid w:val="00A86C04"/>
    <w:rsid w:val="00A92AC2"/>
    <w:rsid w:val="00A94295"/>
    <w:rsid w:val="00AA6D44"/>
    <w:rsid w:val="00AB4271"/>
    <w:rsid w:val="00AB5397"/>
    <w:rsid w:val="00AB79EF"/>
    <w:rsid w:val="00AC07A7"/>
    <w:rsid w:val="00AC36B4"/>
    <w:rsid w:val="00AC7BCD"/>
    <w:rsid w:val="00AD22C0"/>
    <w:rsid w:val="00AD25BD"/>
    <w:rsid w:val="00AD5DB8"/>
    <w:rsid w:val="00AD7DAF"/>
    <w:rsid w:val="00AE64B0"/>
    <w:rsid w:val="00AE76AD"/>
    <w:rsid w:val="00AE7CE4"/>
    <w:rsid w:val="00AF481E"/>
    <w:rsid w:val="00B21DBD"/>
    <w:rsid w:val="00B26BFE"/>
    <w:rsid w:val="00B27BB6"/>
    <w:rsid w:val="00B30D12"/>
    <w:rsid w:val="00B31A25"/>
    <w:rsid w:val="00B3295E"/>
    <w:rsid w:val="00B333B1"/>
    <w:rsid w:val="00B71F1C"/>
    <w:rsid w:val="00B77574"/>
    <w:rsid w:val="00B800E7"/>
    <w:rsid w:val="00B85D15"/>
    <w:rsid w:val="00B861B1"/>
    <w:rsid w:val="00B90549"/>
    <w:rsid w:val="00BA70B6"/>
    <w:rsid w:val="00BB2C89"/>
    <w:rsid w:val="00BB662F"/>
    <w:rsid w:val="00BB7ABC"/>
    <w:rsid w:val="00BC7CC3"/>
    <w:rsid w:val="00BE4BEA"/>
    <w:rsid w:val="00BF45BA"/>
    <w:rsid w:val="00C00F27"/>
    <w:rsid w:val="00C048D8"/>
    <w:rsid w:val="00C14AD7"/>
    <w:rsid w:val="00C3120A"/>
    <w:rsid w:val="00C31F35"/>
    <w:rsid w:val="00C40423"/>
    <w:rsid w:val="00C47659"/>
    <w:rsid w:val="00C6163F"/>
    <w:rsid w:val="00C61915"/>
    <w:rsid w:val="00C61EBD"/>
    <w:rsid w:val="00C6798D"/>
    <w:rsid w:val="00C75952"/>
    <w:rsid w:val="00C76687"/>
    <w:rsid w:val="00C837E7"/>
    <w:rsid w:val="00C84B34"/>
    <w:rsid w:val="00C933DA"/>
    <w:rsid w:val="00CA09D7"/>
    <w:rsid w:val="00CB3FE1"/>
    <w:rsid w:val="00CC5E10"/>
    <w:rsid w:val="00CD3D8F"/>
    <w:rsid w:val="00CD6E8A"/>
    <w:rsid w:val="00D00048"/>
    <w:rsid w:val="00D13465"/>
    <w:rsid w:val="00D24B6C"/>
    <w:rsid w:val="00D337CC"/>
    <w:rsid w:val="00D35AED"/>
    <w:rsid w:val="00D56295"/>
    <w:rsid w:val="00D71845"/>
    <w:rsid w:val="00D72321"/>
    <w:rsid w:val="00D774E3"/>
    <w:rsid w:val="00D80FFD"/>
    <w:rsid w:val="00D860B1"/>
    <w:rsid w:val="00D86929"/>
    <w:rsid w:val="00D970C2"/>
    <w:rsid w:val="00DC0C2E"/>
    <w:rsid w:val="00DC1A00"/>
    <w:rsid w:val="00DC6996"/>
    <w:rsid w:val="00DC6DB2"/>
    <w:rsid w:val="00DD0FAA"/>
    <w:rsid w:val="00DE2B98"/>
    <w:rsid w:val="00DE5DA1"/>
    <w:rsid w:val="00DF4161"/>
    <w:rsid w:val="00DF7197"/>
    <w:rsid w:val="00E0128A"/>
    <w:rsid w:val="00E04678"/>
    <w:rsid w:val="00E138C2"/>
    <w:rsid w:val="00E31F8F"/>
    <w:rsid w:val="00E34838"/>
    <w:rsid w:val="00E46550"/>
    <w:rsid w:val="00E47119"/>
    <w:rsid w:val="00E51DFD"/>
    <w:rsid w:val="00E73305"/>
    <w:rsid w:val="00E74BE3"/>
    <w:rsid w:val="00E85E53"/>
    <w:rsid w:val="00E94E54"/>
    <w:rsid w:val="00E96ADA"/>
    <w:rsid w:val="00E973C6"/>
    <w:rsid w:val="00EB4108"/>
    <w:rsid w:val="00EC0D46"/>
    <w:rsid w:val="00ED00D0"/>
    <w:rsid w:val="00ED50BB"/>
    <w:rsid w:val="00EE001F"/>
    <w:rsid w:val="00EE6ACB"/>
    <w:rsid w:val="00EF6E82"/>
    <w:rsid w:val="00F01519"/>
    <w:rsid w:val="00F03A6D"/>
    <w:rsid w:val="00F41600"/>
    <w:rsid w:val="00F4415D"/>
    <w:rsid w:val="00F459AC"/>
    <w:rsid w:val="00F517BA"/>
    <w:rsid w:val="00F54121"/>
    <w:rsid w:val="00F541C9"/>
    <w:rsid w:val="00F55C3D"/>
    <w:rsid w:val="00F56EED"/>
    <w:rsid w:val="00F777EE"/>
    <w:rsid w:val="00F820D6"/>
    <w:rsid w:val="00FC106C"/>
    <w:rsid w:val="00FD5266"/>
    <w:rsid w:val="00FE4C64"/>
    <w:rsid w:val="00FE5D24"/>
    <w:rsid w:val="00FE6FF8"/>
    <w:rsid w:val="00FF5901"/>
    <w:rsid w:val="00FF650A"/>
    <w:rsid w:val="00FF6634"/>
    <w:rsid w:val="00FF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D34E15"/>
  <w15:docId w15:val="{F59BE2B2-AF7C-954F-9364-950EC0AE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2BA"/>
    <w:pPr>
      <w:spacing w:after="200" w:line="276" w:lineRule="auto"/>
    </w:pPr>
  </w:style>
  <w:style w:type="paragraph" w:styleId="Heading1">
    <w:name w:val="heading 1"/>
    <w:basedOn w:val="Normal"/>
    <w:link w:val="Heading1Char"/>
    <w:uiPriority w:val="99"/>
    <w:qFormat/>
    <w:rsid w:val="008F717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8F717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8F717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717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8F7176"/>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8F7176"/>
    <w:rPr>
      <w:rFonts w:ascii="Times New Roman" w:hAnsi="Times New Roman" w:cs="Times New Roman"/>
      <w:b/>
      <w:bCs/>
      <w:sz w:val="27"/>
      <w:szCs w:val="27"/>
    </w:rPr>
  </w:style>
  <w:style w:type="character" w:styleId="Hyperlink">
    <w:name w:val="Hyperlink"/>
    <w:basedOn w:val="DefaultParagraphFont"/>
    <w:uiPriority w:val="99"/>
    <w:rsid w:val="008F7176"/>
    <w:rPr>
      <w:rFonts w:cs="Times New Roman"/>
      <w:color w:val="0000FF"/>
      <w:u w:val="single"/>
    </w:rPr>
  </w:style>
  <w:style w:type="character" w:styleId="Emphasis">
    <w:name w:val="Emphasis"/>
    <w:basedOn w:val="DefaultParagraphFont"/>
    <w:uiPriority w:val="99"/>
    <w:qFormat/>
    <w:rsid w:val="008F7176"/>
    <w:rPr>
      <w:rFonts w:cs="Times New Roman"/>
      <w:i/>
      <w:iCs/>
    </w:rPr>
  </w:style>
  <w:style w:type="paragraph" w:styleId="BalloonText">
    <w:name w:val="Balloon Text"/>
    <w:basedOn w:val="Normal"/>
    <w:link w:val="BalloonTextChar"/>
    <w:uiPriority w:val="99"/>
    <w:semiHidden/>
    <w:rsid w:val="008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7176"/>
    <w:rPr>
      <w:rFonts w:ascii="Tahoma" w:hAnsi="Tahoma" w:cs="Tahoma"/>
      <w:sz w:val="16"/>
      <w:szCs w:val="16"/>
    </w:rPr>
  </w:style>
  <w:style w:type="paragraph" w:styleId="Title">
    <w:name w:val="Title"/>
    <w:basedOn w:val="Normal"/>
    <w:next w:val="Normal"/>
    <w:link w:val="TitleChar"/>
    <w:qFormat/>
    <w:rsid w:val="006D2E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locked/>
    <w:rsid w:val="006D2E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6D2EE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6D2EEA"/>
    <w:rPr>
      <w:rFonts w:ascii="Cambria" w:hAnsi="Cambria" w:cs="Times New Roman"/>
      <w:i/>
      <w:iCs/>
      <w:color w:val="4F81BD"/>
      <w:spacing w:val="15"/>
      <w:sz w:val="24"/>
      <w:szCs w:val="24"/>
    </w:rPr>
  </w:style>
  <w:style w:type="paragraph" w:styleId="DocumentMap">
    <w:name w:val="Document Map"/>
    <w:basedOn w:val="Normal"/>
    <w:link w:val="DocumentMapChar"/>
    <w:uiPriority w:val="99"/>
    <w:semiHidden/>
    <w:rsid w:val="00F55C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55C3D"/>
    <w:rPr>
      <w:rFonts w:ascii="Tahoma" w:hAnsi="Tahoma" w:cs="Tahoma"/>
      <w:sz w:val="16"/>
      <w:szCs w:val="16"/>
    </w:rPr>
  </w:style>
  <w:style w:type="paragraph" w:styleId="FootnoteText">
    <w:name w:val="footnote text"/>
    <w:basedOn w:val="Normal"/>
    <w:link w:val="FootnoteTextChar"/>
    <w:uiPriority w:val="99"/>
    <w:semiHidden/>
    <w:rsid w:val="005B122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B122E"/>
    <w:rPr>
      <w:rFonts w:cs="Times New Roman"/>
      <w:sz w:val="20"/>
      <w:szCs w:val="20"/>
    </w:rPr>
  </w:style>
  <w:style w:type="character" w:styleId="FootnoteReference">
    <w:name w:val="footnote reference"/>
    <w:basedOn w:val="DefaultParagraphFont"/>
    <w:uiPriority w:val="99"/>
    <w:semiHidden/>
    <w:rsid w:val="005B122E"/>
    <w:rPr>
      <w:rFonts w:cs="Times New Roman"/>
      <w:vertAlign w:val="superscript"/>
    </w:rPr>
  </w:style>
  <w:style w:type="paragraph" w:styleId="EndnoteText">
    <w:name w:val="endnote text"/>
    <w:basedOn w:val="Normal"/>
    <w:link w:val="EndnoteTextChar"/>
    <w:uiPriority w:val="99"/>
    <w:semiHidden/>
    <w:rsid w:val="005B122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B122E"/>
    <w:rPr>
      <w:rFonts w:cs="Times New Roman"/>
      <w:sz w:val="20"/>
      <w:szCs w:val="20"/>
    </w:rPr>
  </w:style>
  <w:style w:type="character" w:styleId="EndnoteReference">
    <w:name w:val="endnote reference"/>
    <w:basedOn w:val="DefaultParagraphFont"/>
    <w:uiPriority w:val="99"/>
    <w:semiHidden/>
    <w:rsid w:val="005B122E"/>
    <w:rPr>
      <w:rFonts w:cs="Times New Roman"/>
      <w:vertAlign w:val="superscript"/>
    </w:rPr>
  </w:style>
  <w:style w:type="character" w:styleId="FollowedHyperlink">
    <w:name w:val="FollowedHyperlink"/>
    <w:basedOn w:val="DefaultParagraphFont"/>
    <w:uiPriority w:val="99"/>
    <w:semiHidden/>
    <w:rsid w:val="00117E66"/>
    <w:rPr>
      <w:rFonts w:cs="Times New Roman"/>
      <w:color w:val="800080"/>
      <w:u w:val="single"/>
    </w:rPr>
  </w:style>
  <w:style w:type="paragraph" w:styleId="Caption">
    <w:name w:val="caption"/>
    <w:basedOn w:val="Normal"/>
    <w:next w:val="Normal"/>
    <w:uiPriority w:val="99"/>
    <w:qFormat/>
    <w:rsid w:val="00117E66"/>
    <w:pPr>
      <w:spacing w:line="240" w:lineRule="auto"/>
    </w:pPr>
    <w:rPr>
      <w:b/>
      <w:bCs/>
      <w:color w:val="4F81BD"/>
      <w:sz w:val="18"/>
      <w:szCs w:val="18"/>
    </w:rPr>
  </w:style>
  <w:style w:type="paragraph" w:styleId="BodyText">
    <w:name w:val="Body Text"/>
    <w:basedOn w:val="Normal"/>
    <w:link w:val="BodyTextChar"/>
    <w:uiPriority w:val="99"/>
    <w:rsid w:val="00176C74"/>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76C74"/>
    <w:rPr>
      <w:rFonts w:ascii="Times New Roman" w:hAnsi="Times New Roman" w:cs="Times New Roman"/>
      <w:sz w:val="20"/>
      <w:szCs w:val="20"/>
    </w:rPr>
  </w:style>
  <w:style w:type="paragraph" w:styleId="BodyTextIndent">
    <w:name w:val="Body Text Indent"/>
    <w:basedOn w:val="Normal"/>
    <w:link w:val="BodyTextIndentChar"/>
    <w:uiPriority w:val="99"/>
    <w:rsid w:val="00176C74"/>
    <w:pPr>
      <w:spacing w:after="0" w:line="240" w:lineRule="auto"/>
      <w:ind w:left="72"/>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locked/>
    <w:rsid w:val="00176C74"/>
    <w:rPr>
      <w:rFonts w:ascii="Times New Roman" w:hAnsi="Times New Roman" w:cs="Times New Roman"/>
      <w:sz w:val="20"/>
      <w:szCs w:val="20"/>
    </w:rPr>
  </w:style>
  <w:style w:type="paragraph" w:styleId="NoSpacing">
    <w:name w:val="No Spacing"/>
    <w:uiPriority w:val="99"/>
    <w:qFormat/>
    <w:rsid w:val="00176C74"/>
  </w:style>
  <w:style w:type="paragraph" w:styleId="Footer">
    <w:name w:val="footer"/>
    <w:basedOn w:val="Normal"/>
    <w:link w:val="FooterChar"/>
    <w:uiPriority w:val="99"/>
    <w:rsid w:val="00AD25BD"/>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AD25BD"/>
    <w:rPr>
      <w:rFonts w:ascii="Times New Roman" w:hAnsi="Times New Roman" w:cs="Times New Roman"/>
      <w:sz w:val="24"/>
      <w:szCs w:val="24"/>
    </w:rPr>
  </w:style>
  <w:style w:type="character" w:customStyle="1" w:styleId="citation">
    <w:name w:val="citation"/>
    <w:basedOn w:val="DefaultParagraphFont"/>
    <w:uiPriority w:val="99"/>
    <w:rsid w:val="00AD25BD"/>
    <w:rPr>
      <w:rFonts w:cs="Times New Roman"/>
    </w:rPr>
  </w:style>
  <w:style w:type="character" w:customStyle="1" w:styleId="journalname">
    <w:name w:val="journalname"/>
    <w:basedOn w:val="DefaultParagraphFont"/>
    <w:uiPriority w:val="99"/>
    <w:rsid w:val="00AD25BD"/>
    <w:rPr>
      <w:rFonts w:cs="Times New Roman"/>
    </w:rPr>
  </w:style>
  <w:style w:type="character" w:customStyle="1" w:styleId="citation-abbreviation3">
    <w:name w:val="citation-abbreviation3"/>
    <w:basedOn w:val="DefaultParagraphFont"/>
    <w:uiPriority w:val="99"/>
    <w:rsid w:val="00AD25BD"/>
    <w:rPr>
      <w:rFonts w:cs="Times New Roman"/>
    </w:rPr>
  </w:style>
  <w:style w:type="character" w:customStyle="1" w:styleId="citation-publication-date">
    <w:name w:val="citation-publication-date"/>
    <w:basedOn w:val="DefaultParagraphFont"/>
    <w:uiPriority w:val="99"/>
    <w:rsid w:val="00AD25BD"/>
    <w:rPr>
      <w:rFonts w:cs="Times New Roman"/>
    </w:rPr>
  </w:style>
  <w:style w:type="character" w:customStyle="1" w:styleId="citation-volume">
    <w:name w:val="citation-volume"/>
    <w:basedOn w:val="DefaultParagraphFont"/>
    <w:uiPriority w:val="99"/>
    <w:rsid w:val="00AD25BD"/>
    <w:rPr>
      <w:rFonts w:cs="Times New Roman"/>
    </w:rPr>
  </w:style>
  <w:style w:type="character" w:customStyle="1" w:styleId="citation-flpages">
    <w:name w:val="citation-flpages"/>
    <w:basedOn w:val="DefaultParagraphFont"/>
    <w:uiPriority w:val="99"/>
    <w:rsid w:val="00AD25BD"/>
    <w:rPr>
      <w:rFonts w:cs="Times New Roman"/>
    </w:rPr>
  </w:style>
  <w:style w:type="paragraph" w:styleId="ListParagraph">
    <w:name w:val="List Paragraph"/>
    <w:basedOn w:val="Normal"/>
    <w:uiPriority w:val="34"/>
    <w:qFormat/>
    <w:rsid w:val="00033DC4"/>
    <w:pPr>
      <w:ind w:left="720"/>
      <w:contextualSpacing/>
    </w:pPr>
  </w:style>
  <w:style w:type="paragraph" w:styleId="Header">
    <w:name w:val="header"/>
    <w:basedOn w:val="Normal"/>
    <w:link w:val="HeaderChar"/>
    <w:uiPriority w:val="99"/>
    <w:rsid w:val="00431A45"/>
    <w:pPr>
      <w:tabs>
        <w:tab w:val="center" w:pos="4320"/>
        <w:tab w:val="right" w:pos="8640"/>
      </w:tabs>
    </w:pPr>
  </w:style>
  <w:style w:type="character" w:customStyle="1" w:styleId="HeaderChar">
    <w:name w:val="Header Char"/>
    <w:basedOn w:val="DefaultParagraphFont"/>
    <w:link w:val="Header"/>
    <w:uiPriority w:val="99"/>
    <w:semiHidden/>
    <w:locked/>
    <w:rsid w:val="002F09ED"/>
    <w:rPr>
      <w:rFonts w:cs="Times New Roman"/>
    </w:rPr>
  </w:style>
  <w:style w:type="paragraph" w:customStyle="1" w:styleId="Figureprotocole">
    <w:name w:val="Figure protocole"/>
    <w:basedOn w:val="Caption"/>
    <w:rsid w:val="00E31F8F"/>
    <w:pPr>
      <w:spacing w:before="120" w:after="120"/>
    </w:pPr>
    <w:rPr>
      <w:rFonts w:ascii="Verdana" w:eastAsia="Times New Roman" w:hAnsi="Verdana"/>
      <w:color w:val="auto"/>
      <w:sz w:val="20"/>
      <w:szCs w:val="20"/>
      <w:u w:val="single"/>
      <w:lang w:eastAsia="fr-FR"/>
    </w:rPr>
  </w:style>
  <w:style w:type="character" w:styleId="PlaceholderText">
    <w:name w:val="Placeholder Text"/>
    <w:basedOn w:val="DefaultParagraphFont"/>
    <w:uiPriority w:val="99"/>
    <w:semiHidden/>
    <w:rsid w:val="00BA70B6"/>
    <w:rPr>
      <w:color w:val="808080"/>
    </w:rPr>
  </w:style>
  <w:style w:type="paragraph" w:customStyle="1" w:styleId="CMEJArticleTitle">
    <w:name w:val="CMEJ Article Title"/>
    <w:basedOn w:val="Normal"/>
    <w:qFormat/>
    <w:rsid w:val="0043485B"/>
    <w:pPr>
      <w:spacing w:after="0" w:line="240" w:lineRule="auto"/>
    </w:pPr>
    <w:rPr>
      <w:rFonts w:ascii="Cambria" w:hAnsi="Cambria"/>
      <w:b/>
      <w:bCs/>
      <w:sz w:val="36"/>
      <w:szCs w:val="20"/>
      <w:lang w:val="en-CA" w:eastAsia="en-CA"/>
    </w:rPr>
  </w:style>
  <w:style w:type="paragraph" w:customStyle="1" w:styleId="CMEJAbstractheading">
    <w:name w:val="CMEJ Abstract heading"/>
    <w:basedOn w:val="Normal"/>
    <w:qFormat/>
    <w:rsid w:val="0043485B"/>
    <w:pPr>
      <w:spacing w:before="240" w:after="120" w:line="264" w:lineRule="auto"/>
      <w:jc w:val="both"/>
    </w:pPr>
    <w:rPr>
      <w:b/>
      <w:sz w:val="32"/>
      <w:szCs w:val="20"/>
      <w:lang w:val="en-CA" w:eastAsia="zh-CN"/>
    </w:rPr>
  </w:style>
  <w:style w:type="paragraph" w:customStyle="1" w:styleId="CMEJBodytext">
    <w:name w:val="CMEJ Body text"/>
    <w:basedOn w:val="Normal"/>
    <w:qFormat/>
    <w:rsid w:val="0043485B"/>
    <w:pPr>
      <w:spacing w:after="120" w:line="264" w:lineRule="auto"/>
      <w:jc w:val="both"/>
    </w:pPr>
    <w:rPr>
      <w:color w:val="000000"/>
      <w:sz w:val="20"/>
      <w:szCs w:val="20"/>
      <w:lang w:val="en-CA" w:eastAsia="en-CA"/>
    </w:rPr>
  </w:style>
  <w:style w:type="character" w:styleId="PageNumber">
    <w:name w:val="page number"/>
    <w:basedOn w:val="DefaultParagraphFont"/>
    <w:uiPriority w:val="99"/>
    <w:semiHidden/>
    <w:unhideWhenUsed/>
    <w:rsid w:val="0043485B"/>
  </w:style>
  <w:style w:type="paragraph" w:customStyle="1" w:styleId="CMEJIntroduction">
    <w:name w:val="CMEJ Introduction"/>
    <w:basedOn w:val="Normal"/>
    <w:qFormat/>
    <w:rsid w:val="0043485B"/>
    <w:pPr>
      <w:spacing w:after="120" w:line="264" w:lineRule="auto"/>
      <w:jc w:val="both"/>
    </w:pPr>
    <w:rPr>
      <w:b/>
      <w:sz w:val="24"/>
      <w:szCs w:val="20"/>
      <w:lang w:val="en-CA" w:eastAsia="zh-CN"/>
    </w:rPr>
  </w:style>
  <w:style w:type="paragraph" w:customStyle="1" w:styleId="CMEJMethodsResultsDiscussion">
    <w:name w:val="CMEJ Methods Results Discussion"/>
    <w:basedOn w:val="Normal"/>
    <w:qFormat/>
    <w:rsid w:val="0043485B"/>
    <w:pPr>
      <w:spacing w:before="240" w:after="120" w:line="264" w:lineRule="auto"/>
    </w:pPr>
    <w:rPr>
      <w:b/>
      <w:sz w:val="24"/>
      <w:lang w:val="en-CA" w:eastAsia="zh-CN"/>
    </w:rPr>
  </w:style>
  <w:style w:type="paragraph" w:customStyle="1" w:styleId="CMEJReferencesbody">
    <w:name w:val="CMEJ References body"/>
    <w:basedOn w:val="NormalWeb"/>
    <w:qFormat/>
    <w:rsid w:val="00C6798D"/>
    <w:pPr>
      <w:numPr>
        <w:numId w:val="1"/>
      </w:numPr>
      <w:tabs>
        <w:tab w:val="num" w:pos="720"/>
      </w:tabs>
      <w:spacing w:after="120" w:line="264" w:lineRule="auto"/>
      <w:ind w:left="357" w:hanging="357"/>
      <w:jc w:val="both"/>
    </w:pPr>
    <w:rPr>
      <w:rFonts w:ascii="Calibri" w:eastAsia="Times New Roman" w:hAnsi="Calibri"/>
      <w:noProof/>
      <w:sz w:val="18"/>
      <w:szCs w:val="20"/>
      <w:lang w:val="en-CA" w:eastAsia="en-CA"/>
    </w:rPr>
  </w:style>
  <w:style w:type="paragraph" w:customStyle="1" w:styleId="CMEJSub-titles">
    <w:name w:val="CMEJ Sub-titles"/>
    <w:basedOn w:val="Normal"/>
    <w:qFormat/>
    <w:rsid w:val="0043485B"/>
    <w:pPr>
      <w:tabs>
        <w:tab w:val="left" w:pos="1946"/>
      </w:tabs>
      <w:spacing w:before="120" w:after="120" w:line="264" w:lineRule="auto"/>
      <w:jc w:val="both"/>
    </w:pPr>
    <w:rPr>
      <w:b/>
      <w:i/>
      <w:sz w:val="20"/>
      <w:szCs w:val="20"/>
      <w:lang w:val="en-CA" w:eastAsia="en-CA"/>
    </w:rPr>
  </w:style>
  <w:style w:type="paragraph" w:styleId="NormalWeb">
    <w:name w:val="Normal (Web)"/>
    <w:basedOn w:val="Normal"/>
    <w:uiPriority w:val="99"/>
    <w:unhideWhenUsed/>
    <w:rsid w:val="0043485B"/>
    <w:rPr>
      <w:rFonts w:ascii="Times New Roman" w:hAnsi="Times New Roman"/>
      <w:sz w:val="24"/>
      <w:szCs w:val="24"/>
    </w:rPr>
  </w:style>
  <w:style w:type="character" w:styleId="CommentReference">
    <w:name w:val="annotation reference"/>
    <w:basedOn w:val="DefaultParagraphFont"/>
    <w:uiPriority w:val="99"/>
    <w:semiHidden/>
    <w:unhideWhenUsed/>
    <w:rsid w:val="00E94E54"/>
    <w:rPr>
      <w:sz w:val="18"/>
      <w:szCs w:val="18"/>
    </w:rPr>
  </w:style>
  <w:style w:type="paragraph" w:styleId="CommentText">
    <w:name w:val="annotation text"/>
    <w:basedOn w:val="Normal"/>
    <w:link w:val="CommentTextChar"/>
    <w:uiPriority w:val="99"/>
    <w:unhideWhenUsed/>
    <w:rsid w:val="00E94E54"/>
    <w:pPr>
      <w:spacing w:line="240" w:lineRule="auto"/>
    </w:pPr>
    <w:rPr>
      <w:sz w:val="24"/>
      <w:szCs w:val="24"/>
    </w:rPr>
  </w:style>
  <w:style w:type="character" w:customStyle="1" w:styleId="CommentTextChar">
    <w:name w:val="Comment Text Char"/>
    <w:basedOn w:val="DefaultParagraphFont"/>
    <w:link w:val="CommentText"/>
    <w:uiPriority w:val="99"/>
    <w:rsid w:val="00E94E54"/>
    <w:rPr>
      <w:sz w:val="24"/>
      <w:szCs w:val="24"/>
    </w:rPr>
  </w:style>
  <w:style w:type="paragraph" w:styleId="CommentSubject">
    <w:name w:val="annotation subject"/>
    <w:basedOn w:val="CommentText"/>
    <w:next w:val="CommentText"/>
    <w:link w:val="CommentSubjectChar"/>
    <w:uiPriority w:val="99"/>
    <w:semiHidden/>
    <w:unhideWhenUsed/>
    <w:rsid w:val="00E94E54"/>
    <w:rPr>
      <w:b/>
      <w:bCs/>
      <w:sz w:val="20"/>
      <w:szCs w:val="20"/>
    </w:rPr>
  </w:style>
  <w:style w:type="character" w:customStyle="1" w:styleId="CommentSubjectChar">
    <w:name w:val="Comment Subject Char"/>
    <w:basedOn w:val="CommentTextChar"/>
    <w:link w:val="CommentSubject"/>
    <w:uiPriority w:val="99"/>
    <w:semiHidden/>
    <w:rsid w:val="00E94E54"/>
    <w:rPr>
      <w:b/>
      <w:bCs/>
      <w:sz w:val="20"/>
      <w:szCs w:val="20"/>
    </w:rPr>
  </w:style>
  <w:style w:type="paragraph" w:styleId="Revision">
    <w:name w:val="Revision"/>
    <w:hidden/>
    <w:uiPriority w:val="99"/>
    <w:semiHidden/>
    <w:rsid w:val="008C0F3D"/>
  </w:style>
  <w:style w:type="character" w:customStyle="1" w:styleId="shorttext">
    <w:name w:val="short_text"/>
    <w:basedOn w:val="DefaultParagraphFont"/>
    <w:rsid w:val="001E668E"/>
  </w:style>
  <w:style w:type="character" w:customStyle="1" w:styleId="hps">
    <w:name w:val="hps"/>
    <w:basedOn w:val="DefaultParagraphFont"/>
    <w:rsid w:val="001E668E"/>
  </w:style>
  <w:style w:type="character" w:customStyle="1" w:styleId="sdzsvb">
    <w:name w:val="sdzsvb"/>
    <w:basedOn w:val="DefaultParagraphFont"/>
    <w:rsid w:val="007B17E8"/>
  </w:style>
  <w:style w:type="table" w:styleId="TableGrid">
    <w:name w:val="Table Grid"/>
    <w:basedOn w:val="TableNormal"/>
    <w:locked/>
    <w:rsid w:val="007F5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CD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92157">
      <w:bodyDiv w:val="1"/>
      <w:marLeft w:val="0"/>
      <w:marRight w:val="0"/>
      <w:marTop w:val="0"/>
      <w:marBottom w:val="0"/>
      <w:divBdr>
        <w:top w:val="none" w:sz="0" w:space="0" w:color="auto"/>
        <w:left w:val="none" w:sz="0" w:space="0" w:color="auto"/>
        <w:bottom w:val="none" w:sz="0" w:space="0" w:color="auto"/>
        <w:right w:val="none" w:sz="0" w:space="0" w:color="auto"/>
      </w:divBdr>
    </w:div>
    <w:div w:id="555312940">
      <w:bodyDiv w:val="1"/>
      <w:marLeft w:val="0"/>
      <w:marRight w:val="0"/>
      <w:marTop w:val="0"/>
      <w:marBottom w:val="0"/>
      <w:divBdr>
        <w:top w:val="none" w:sz="0" w:space="0" w:color="auto"/>
        <w:left w:val="none" w:sz="0" w:space="0" w:color="auto"/>
        <w:bottom w:val="none" w:sz="0" w:space="0" w:color="auto"/>
        <w:right w:val="none" w:sz="0" w:space="0" w:color="auto"/>
      </w:divBdr>
    </w:div>
    <w:div w:id="614100905">
      <w:bodyDiv w:val="1"/>
      <w:marLeft w:val="0"/>
      <w:marRight w:val="0"/>
      <w:marTop w:val="0"/>
      <w:marBottom w:val="0"/>
      <w:divBdr>
        <w:top w:val="none" w:sz="0" w:space="0" w:color="auto"/>
        <w:left w:val="none" w:sz="0" w:space="0" w:color="auto"/>
        <w:bottom w:val="none" w:sz="0" w:space="0" w:color="auto"/>
        <w:right w:val="none" w:sz="0" w:space="0" w:color="auto"/>
      </w:divBdr>
    </w:div>
    <w:div w:id="973482145">
      <w:bodyDiv w:val="1"/>
      <w:marLeft w:val="0"/>
      <w:marRight w:val="0"/>
      <w:marTop w:val="0"/>
      <w:marBottom w:val="0"/>
      <w:divBdr>
        <w:top w:val="none" w:sz="0" w:space="0" w:color="auto"/>
        <w:left w:val="none" w:sz="0" w:space="0" w:color="auto"/>
        <w:bottom w:val="none" w:sz="0" w:space="0" w:color="auto"/>
        <w:right w:val="none" w:sz="0" w:space="0" w:color="auto"/>
      </w:divBdr>
    </w:div>
    <w:div w:id="1211187494">
      <w:bodyDiv w:val="1"/>
      <w:marLeft w:val="0"/>
      <w:marRight w:val="0"/>
      <w:marTop w:val="0"/>
      <w:marBottom w:val="0"/>
      <w:divBdr>
        <w:top w:val="none" w:sz="0" w:space="0" w:color="auto"/>
        <w:left w:val="none" w:sz="0" w:space="0" w:color="auto"/>
        <w:bottom w:val="none" w:sz="0" w:space="0" w:color="auto"/>
        <w:right w:val="none" w:sz="0" w:space="0" w:color="auto"/>
      </w:divBdr>
    </w:div>
    <w:div w:id="1879119917">
      <w:bodyDiv w:val="1"/>
      <w:marLeft w:val="0"/>
      <w:marRight w:val="0"/>
      <w:marTop w:val="0"/>
      <w:marBottom w:val="0"/>
      <w:divBdr>
        <w:top w:val="none" w:sz="0" w:space="0" w:color="auto"/>
        <w:left w:val="none" w:sz="0" w:space="0" w:color="auto"/>
        <w:bottom w:val="none" w:sz="0" w:space="0" w:color="auto"/>
        <w:right w:val="none" w:sz="0" w:space="0" w:color="auto"/>
      </w:divBdr>
    </w:div>
    <w:div w:id="2137486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007/s10459-011-9277-4" TargetMode="External"/><Relationship Id="rId26" Type="http://schemas.openxmlformats.org/officeDocument/2006/relationships/hyperlink" Target="https://portal.cfpc.ca/resourcesdocs/en/Supervision-of-FM-Learners-for-Virtual-Visits-final.pdf" TargetMode="External"/><Relationship Id="rId3" Type="http://schemas.openxmlformats.org/officeDocument/2006/relationships/customXml" Target="../customXml/item3.xml"/><Relationship Id="rId21" Type="http://schemas.openxmlformats.org/officeDocument/2006/relationships/hyperlink" Target="https://doi.org/10.1080/0142159X.2017.124585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1080/01421590701746983" TargetMode="External"/><Relationship Id="rId25" Type="http://schemas.openxmlformats.org/officeDocument/2006/relationships/hyperlink" Target="https://doi.org/10.1097/ACM.000000000000104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080/0142159022020687"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ej.ca" TargetMode="External"/><Relationship Id="rId24" Type="http://schemas.openxmlformats.org/officeDocument/2006/relationships/hyperlink" Target="https://doi.org/10.3109/0142159X.2010.501190" TargetMode="External"/><Relationship Id="rId5" Type="http://schemas.openxmlformats.org/officeDocument/2006/relationships/numbering" Target="numbering.xml"/><Relationship Id="rId15" Type="http://schemas.openxmlformats.org/officeDocument/2006/relationships/hyperlink" Target="http://creativecommons.org/licenses/by/2.0" TargetMode="External"/><Relationship Id="rId23" Type="http://schemas.openxmlformats.org/officeDocument/2006/relationships/hyperlink" Target="https://doi.org/10.1097/ACM.0b013e318238e069" TargetMode="External"/><Relationship Id="rId28"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cfpc.ca/uploadedFiles/Resources/Resource_Items/Health_Professionals/CanMEDS-Family-Medicine-2017-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i.org/10.1111/j.1365-2923.2007.02996.x" TargetMode="External"/><Relationship Id="rId27" Type="http://schemas.openxmlformats.org/officeDocument/2006/relationships/hyperlink" Target="https://doi.org/10.3109/0142159X.2012.668637"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ric.wooltorton@uottawa.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0B231160B64D89A36E29D538927570"/>
        <w:category>
          <w:name w:val="General"/>
          <w:gallery w:val="placeholder"/>
        </w:category>
        <w:types>
          <w:type w:val="bbPlcHdr"/>
        </w:types>
        <w:behaviors>
          <w:behavior w:val="content"/>
        </w:behaviors>
        <w:guid w:val="{85F517CF-DA29-49A7-A59E-24CF81CB21FD}"/>
      </w:docPartPr>
      <w:docPartBody>
        <w:p w:rsidR="008609C0" w:rsidRDefault="008609C0">
          <w:pPr>
            <w:pStyle w:val="C20B231160B64D89A36E29D538927570"/>
          </w:pPr>
          <w:r w:rsidRPr="00DB5D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609C0"/>
    <w:rsid w:val="0001095B"/>
    <w:rsid w:val="00080D58"/>
    <w:rsid w:val="00084733"/>
    <w:rsid w:val="001009DC"/>
    <w:rsid w:val="001C4A9E"/>
    <w:rsid w:val="001F16AF"/>
    <w:rsid w:val="00217E72"/>
    <w:rsid w:val="002476B2"/>
    <w:rsid w:val="00250B40"/>
    <w:rsid w:val="00352F35"/>
    <w:rsid w:val="003532A9"/>
    <w:rsid w:val="003827FC"/>
    <w:rsid w:val="003C499E"/>
    <w:rsid w:val="003F4523"/>
    <w:rsid w:val="004113EC"/>
    <w:rsid w:val="00431377"/>
    <w:rsid w:val="00440CF8"/>
    <w:rsid w:val="004756A9"/>
    <w:rsid w:val="004E3C25"/>
    <w:rsid w:val="0051307F"/>
    <w:rsid w:val="00525C88"/>
    <w:rsid w:val="005549B0"/>
    <w:rsid w:val="00580E61"/>
    <w:rsid w:val="005C6E0E"/>
    <w:rsid w:val="00613B61"/>
    <w:rsid w:val="006657C2"/>
    <w:rsid w:val="00692C01"/>
    <w:rsid w:val="00696D5B"/>
    <w:rsid w:val="006D2A75"/>
    <w:rsid w:val="006F556C"/>
    <w:rsid w:val="007903E4"/>
    <w:rsid w:val="008609C0"/>
    <w:rsid w:val="00864684"/>
    <w:rsid w:val="008950A4"/>
    <w:rsid w:val="00895902"/>
    <w:rsid w:val="008F0AB8"/>
    <w:rsid w:val="008F261A"/>
    <w:rsid w:val="008F770C"/>
    <w:rsid w:val="0095709B"/>
    <w:rsid w:val="009A1D6E"/>
    <w:rsid w:val="00AA7AA5"/>
    <w:rsid w:val="00AD70C3"/>
    <w:rsid w:val="00AF42AC"/>
    <w:rsid w:val="00B04DFD"/>
    <w:rsid w:val="00B05A85"/>
    <w:rsid w:val="00B9768A"/>
    <w:rsid w:val="00BC6E89"/>
    <w:rsid w:val="00BD5384"/>
    <w:rsid w:val="00C63A58"/>
    <w:rsid w:val="00C721E3"/>
    <w:rsid w:val="00C81F60"/>
    <w:rsid w:val="00CA227C"/>
    <w:rsid w:val="00CC2F16"/>
    <w:rsid w:val="00D15D18"/>
    <w:rsid w:val="00D41248"/>
    <w:rsid w:val="00D412FA"/>
    <w:rsid w:val="00DD1736"/>
    <w:rsid w:val="00E72E91"/>
    <w:rsid w:val="00E74231"/>
    <w:rsid w:val="00EC428F"/>
    <w:rsid w:val="00EE7A36"/>
    <w:rsid w:val="00F66D12"/>
    <w:rsid w:val="00F73C49"/>
    <w:rsid w:val="00F8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61A"/>
    <w:rPr>
      <w:color w:val="808080"/>
    </w:rPr>
  </w:style>
  <w:style w:type="paragraph" w:customStyle="1" w:styleId="C20B231160B64D89A36E29D538927570">
    <w:name w:val="C20B231160B64D89A36E29D538927570"/>
    <w:rsid w:val="008609C0"/>
  </w:style>
  <w:style w:type="paragraph" w:customStyle="1" w:styleId="ADEC22822B6A4969B5795F1F8581A653">
    <w:name w:val="ADEC22822B6A4969B5795F1F8581A653"/>
    <w:rsid w:val="008609C0"/>
  </w:style>
  <w:style w:type="paragraph" w:customStyle="1" w:styleId="8FBD4BA7C6A54E65A50F523CBE28F4BA">
    <w:name w:val="8FBD4BA7C6A54E65A50F523CBE28F4BA"/>
    <w:rsid w:val="008609C0"/>
  </w:style>
  <w:style w:type="paragraph" w:customStyle="1" w:styleId="8905337B3CA44BCC956433FF935F6A2D">
    <w:name w:val="8905337B3CA44BCC956433FF935F6A2D"/>
    <w:rsid w:val="008609C0"/>
  </w:style>
  <w:style w:type="paragraph" w:customStyle="1" w:styleId="3CD5EB5764744B60A822F3DA06B33013">
    <w:name w:val="3CD5EB5764744B60A822F3DA06B33013"/>
    <w:rsid w:val="008609C0"/>
  </w:style>
  <w:style w:type="paragraph" w:customStyle="1" w:styleId="8170AC0CDF7649D98AE1528DE99E141E">
    <w:name w:val="8170AC0CDF7649D98AE1528DE99E141E"/>
    <w:rsid w:val="008609C0"/>
  </w:style>
  <w:style w:type="paragraph" w:customStyle="1" w:styleId="48377C8416D441F9888D3BA770121F09">
    <w:name w:val="48377C8416D441F9888D3BA770121F09"/>
    <w:rsid w:val="008609C0"/>
  </w:style>
  <w:style w:type="paragraph" w:customStyle="1" w:styleId="97356A6BA59A4F718A9223C2D6554767">
    <w:name w:val="97356A6BA59A4F718A9223C2D6554767"/>
    <w:rsid w:val="008609C0"/>
  </w:style>
  <w:style w:type="paragraph" w:customStyle="1" w:styleId="F079B2DC825F4F6E995800FD88BDE39D">
    <w:name w:val="F079B2DC825F4F6E995800FD88BDE39D"/>
    <w:rsid w:val="008609C0"/>
  </w:style>
  <w:style w:type="paragraph" w:customStyle="1" w:styleId="57EE33C9B06D49FCB67BC50A7580CCCE">
    <w:name w:val="57EE33C9B06D49FCB67BC50A7580CCCE"/>
    <w:rsid w:val="008609C0"/>
  </w:style>
  <w:style w:type="paragraph" w:customStyle="1" w:styleId="4D8F461E541C432683B563B7A594E914">
    <w:name w:val="4D8F461E541C432683B563B7A594E914"/>
    <w:rsid w:val="008609C0"/>
  </w:style>
  <w:style w:type="paragraph" w:customStyle="1" w:styleId="90B0DE5173194FA4B4A7A9EAF7E86066">
    <w:name w:val="90B0DE5173194FA4B4A7A9EAF7E86066"/>
    <w:rsid w:val="008F261A"/>
  </w:style>
  <w:style w:type="paragraph" w:customStyle="1" w:styleId="FE90DD3954A34760990EFDD01E0F9D77">
    <w:name w:val="FE90DD3954A34760990EFDD01E0F9D77"/>
    <w:rsid w:val="008F261A"/>
  </w:style>
  <w:style w:type="paragraph" w:customStyle="1" w:styleId="FD582B851A1142A7B590CBAB1D54B751">
    <w:name w:val="FD582B851A1142A7B590CBAB1D54B751"/>
    <w:rsid w:val="008F261A"/>
  </w:style>
  <w:style w:type="paragraph" w:customStyle="1" w:styleId="5336AB9089004ADDB79E47C19D53148D">
    <w:name w:val="5336AB9089004ADDB79E47C19D53148D"/>
    <w:rsid w:val="008F261A"/>
  </w:style>
  <w:style w:type="paragraph" w:customStyle="1" w:styleId="29605233C88A4630A81040F5FD1D7163">
    <w:name w:val="29605233C88A4630A81040F5FD1D7163"/>
    <w:rsid w:val="008F2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85B84F9A264BAC6F0627929DB641" ma:contentTypeVersion="7" ma:contentTypeDescription="Create a new document." ma:contentTypeScope="" ma:versionID="66b96b7e5b860440c5acacb0d8637012">
  <xsd:schema xmlns:xsd="http://www.w3.org/2001/XMLSchema" xmlns:xs="http://www.w3.org/2001/XMLSchema" xmlns:p="http://schemas.microsoft.com/office/2006/metadata/properties" xmlns:ns3="3f3f8dd5-f854-4a82-af3b-1712c9531ae6" xmlns:ns4="93204efa-c6bb-40d2-8d3f-342b13176a85" targetNamespace="http://schemas.microsoft.com/office/2006/metadata/properties" ma:root="true" ma:fieldsID="46a184a6df3cb1816aadb7884650ba2b" ns3:_="" ns4:_="">
    <xsd:import namespace="3f3f8dd5-f854-4a82-af3b-1712c9531ae6"/>
    <xsd:import namespace="93204efa-c6bb-40d2-8d3f-342b13176a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f8dd5-f854-4a82-af3b-1712c9531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04efa-c6bb-40d2-8d3f-342b13176a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E6FF-DE29-4C96-9078-A842992FB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f8dd5-f854-4a82-af3b-1712c9531ae6"/>
    <ds:schemaRef ds:uri="93204efa-c6bb-40d2-8d3f-342b1317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498DD-EB58-4219-B207-0DC4DB053CFD}">
  <ds:schemaRefs>
    <ds:schemaRef ds:uri="http://schemas.microsoft.com/sharepoint/v3/contenttype/forms"/>
  </ds:schemaRefs>
</ds:datastoreItem>
</file>

<file path=customXml/itemProps3.xml><?xml version="1.0" encoding="utf-8"?>
<ds:datastoreItem xmlns:ds="http://schemas.openxmlformats.org/officeDocument/2006/customXml" ds:itemID="{C67C6691-0E04-45C2-A800-B76FB14CD3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BFBB3-BE64-134C-883C-27E18896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2964</Words>
  <Characters>18823</Characters>
  <Application>Microsoft Office Word</Application>
  <DocSecurity>0</DocSecurity>
  <Lines>553</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Lacasse</dc:creator>
  <cp:keywords/>
  <dc:description/>
  <cp:lastModifiedBy>Heather Hickey</cp:lastModifiedBy>
  <cp:revision>3</cp:revision>
  <cp:lastPrinted>2020-08-06T22:59:00Z</cp:lastPrinted>
  <dcterms:created xsi:type="dcterms:W3CDTF">2020-09-18T18:06:00Z</dcterms:created>
  <dcterms:modified xsi:type="dcterms:W3CDTF">2020-09-22T15:59:00Z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TC300004651033</vt:lpwstr>
  </property>
  <property fmtid="{D5CDD505-2E9C-101B-9397-08002B2CF9AE}" pid="3" name="ContentTypeId">
    <vt:lpwstr>0x010100058C85B84F9A264BAC6F0627929DB641</vt:lpwstr>
  </property>
</Properties>
</file>